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rPr>
      </w:pPr>
      <w:r>
        <w:rPr>
          <w:rFonts w:hint="eastAsia" w:ascii="宋体" w:hAnsi="宋体"/>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1422400" cy="560070"/>
            <wp:effectExtent l="19050" t="0" r="6350" b="0"/>
            <wp:wrapNone/>
            <wp:docPr id="2"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clogo"/>
                    <pic:cNvPicPr>
                      <a:picLocks noChangeAspect="1" noChangeArrowheads="1"/>
                    </pic:cNvPicPr>
                  </pic:nvPicPr>
                  <pic:blipFill>
                    <a:blip r:embed="rId14"/>
                    <a:srcRect/>
                    <a:stretch>
                      <a:fillRect/>
                    </a:stretch>
                  </pic:blipFill>
                  <pic:spPr>
                    <a:xfrm>
                      <a:off x="0" y="0"/>
                      <a:ext cx="1422400" cy="560070"/>
                    </a:xfrm>
                    <a:prstGeom prst="rect">
                      <a:avLst/>
                    </a:prstGeom>
                    <a:noFill/>
                    <a:ln w="9525">
                      <a:noFill/>
                      <a:miter lim="800000"/>
                      <a:headEnd/>
                      <a:tailEnd/>
                    </a:ln>
                  </pic:spPr>
                </pic:pic>
              </a:graphicData>
            </a:graphic>
          </wp:anchor>
        </w:drawing>
      </w: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48"/>
        <w:rPr>
          <w:rFonts w:ascii="宋体" w:hAnsi="宋体" w:eastAsia="宋体"/>
        </w:rPr>
      </w:pPr>
      <w:r>
        <w:rPr>
          <w:rFonts w:hint="eastAsia" w:ascii="宋体" w:hAnsi="宋体" w:eastAsia="宋体"/>
        </w:rPr>
        <w:t>稳得利存款产品</w:t>
      </w:r>
    </w:p>
    <w:p>
      <w:pPr>
        <w:pStyle w:val="48"/>
        <w:rPr>
          <w:rFonts w:ascii="宋体" w:hAnsi="宋体" w:eastAsia="宋体"/>
        </w:rPr>
      </w:pPr>
      <w:r>
        <w:rPr>
          <w:rFonts w:hint="eastAsia" w:ascii="宋体" w:hAnsi="宋体" w:eastAsia="宋体"/>
        </w:rPr>
        <w:t>需求功能规格说明书</w:t>
      </w:r>
    </w:p>
    <w:p>
      <w:pPr>
        <w:pStyle w:val="48"/>
        <w:rPr>
          <w:rFonts w:ascii="宋体" w:hAnsi="宋体" w:eastAsia="宋体"/>
        </w:rPr>
      </w:pPr>
      <w:r>
        <w:rPr>
          <w:rFonts w:hint="eastAsia" w:ascii="宋体" w:hAnsi="宋体"/>
          <w:b w:val="0"/>
          <w:sz w:val="30"/>
          <w:szCs w:val="30"/>
        </w:rPr>
        <w:t>【稳得利存款产品】</w:t>
      </w:r>
    </w:p>
    <w:p>
      <w:pPr>
        <w:pStyle w:val="3"/>
        <w:rPr>
          <w:rFonts w:ascii="宋体" w:hAnsi="宋体"/>
        </w:rPr>
      </w:pPr>
    </w:p>
    <w:p>
      <w:pPr>
        <w:pStyle w:val="51"/>
        <w:rPr>
          <w:rFonts w:ascii="宋体" w:hAnsi="宋体" w:eastAsia="宋体"/>
        </w:rPr>
      </w:pPr>
      <w:r>
        <w:rPr>
          <w:rFonts w:hint="eastAsia" w:ascii="宋体" w:hAnsi="宋体" w:eastAsia="宋体"/>
        </w:rPr>
        <w:t>版本 V1.0</w:t>
      </w: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p>
      <w:pPr>
        <w:pStyle w:val="3"/>
        <w:rPr>
          <w:rFonts w:ascii="宋体" w:hAnsi="宋体"/>
        </w:rPr>
      </w:pPr>
    </w:p>
    <w:tbl>
      <w:tblPr>
        <w:tblStyle w:val="45"/>
        <w:tblpPr w:leftFromText="180" w:rightFromText="180" w:vertAnchor="text" w:horzAnchor="margin" w:tblpXSpec="center" w:tblpY="2802"/>
        <w:tblW w:w="90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4"/>
        <w:gridCol w:w="2274"/>
        <w:gridCol w:w="2274"/>
        <w:gridCol w:w="22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74" w:type="dxa"/>
            <w:shd w:val="clear" w:color="auto" w:fill="E0E0E0"/>
            <w:vAlign w:val="center"/>
          </w:tcPr>
          <w:p>
            <w:pPr>
              <w:pStyle w:val="53"/>
              <w:rPr>
                <w:rFonts w:ascii="宋体" w:hAnsi="宋体"/>
              </w:rPr>
            </w:pPr>
            <w:r>
              <w:rPr>
                <w:rFonts w:hint="eastAsia" w:ascii="宋体" w:hAnsi="宋体"/>
              </w:rPr>
              <w:t>文 档 编 号</w:t>
            </w:r>
          </w:p>
        </w:tc>
        <w:tc>
          <w:tcPr>
            <w:tcW w:w="2274" w:type="dxa"/>
            <w:vAlign w:val="center"/>
          </w:tcPr>
          <w:p>
            <w:pPr>
              <w:pStyle w:val="53"/>
              <w:rPr>
                <w:rFonts w:ascii="宋体" w:hAnsi="宋体"/>
                <w:szCs w:val="21"/>
              </w:rPr>
            </w:pPr>
          </w:p>
        </w:tc>
        <w:tc>
          <w:tcPr>
            <w:tcW w:w="2274" w:type="dxa"/>
            <w:shd w:val="clear" w:color="auto" w:fill="E0E0E0"/>
            <w:vAlign w:val="center"/>
          </w:tcPr>
          <w:p>
            <w:pPr>
              <w:pStyle w:val="53"/>
              <w:rPr>
                <w:rFonts w:ascii="宋体" w:hAnsi="宋体"/>
              </w:rPr>
            </w:pPr>
            <w:r>
              <w:rPr>
                <w:rFonts w:hint="eastAsia" w:ascii="宋体" w:hAnsi="宋体"/>
              </w:rPr>
              <w:t>保 密 等 级</w:t>
            </w:r>
          </w:p>
        </w:tc>
        <w:tc>
          <w:tcPr>
            <w:tcW w:w="2274" w:type="dxa"/>
            <w:vAlign w:val="center"/>
          </w:tcPr>
          <w:p>
            <w:pPr>
              <w:pStyle w:val="53"/>
              <w:rPr>
                <w:rFonts w:ascii="宋体" w:hAnsi="宋体"/>
              </w:rPr>
            </w:pPr>
            <w:r>
              <w:rPr>
                <w:rFonts w:hint="eastAsia" w:ascii="宋体" w:hAnsi="宋体"/>
              </w:rPr>
              <w:t>机密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74" w:type="dxa"/>
            <w:shd w:val="clear" w:color="auto" w:fill="E0E0E0"/>
            <w:vAlign w:val="center"/>
          </w:tcPr>
          <w:p>
            <w:pPr>
              <w:pStyle w:val="53"/>
              <w:rPr>
                <w:rFonts w:ascii="宋体" w:hAnsi="宋体"/>
              </w:rPr>
            </w:pPr>
            <w:r>
              <w:rPr>
                <w:rFonts w:hint="eastAsia" w:ascii="宋体" w:hAnsi="宋体"/>
              </w:rPr>
              <w:t>作       者</w:t>
            </w:r>
          </w:p>
        </w:tc>
        <w:tc>
          <w:tcPr>
            <w:tcW w:w="2274" w:type="dxa"/>
            <w:vAlign w:val="center"/>
          </w:tcPr>
          <w:p>
            <w:pPr>
              <w:pStyle w:val="53"/>
              <w:ind w:firstLine="735" w:firstLineChars="350"/>
              <w:jc w:val="both"/>
              <w:rPr>
                <w:rFonts w:hint="eastAsia" w:ascii="宋体" w:hAnsi="宋体" w:eastAsia="宋体"/>
                <w:lang w:eastAsia="zh-CN"/>
              </w:rPr>
            </w:pPr>
            <w:r>
              <w:rPr>
                <w:rFonts w:hint="eastAsia" w:ascii="宋体" w:hAnsi="宋体"/>
                <w:lang w:val="en-US" w:eastAsia="zh-CN"/>
              </w:rPr>
              <w:t>某某</w:t>
            </w:r>
          </w:p>
        </w:tc>
        <w:tc>
          <w:tcPr>
            <w:tcW w:w="2274" w:type="dxa"/>
            <w:shd w:val="clear" w:color="auto" w:fill="E0E0E0"/>
            <w:vAlign w:val="center"/>
          </w:tcPr>
          <w:p>
            <w:pPr>
              <w:pStyle w:val="53"/>
              <w:rPr>
                <w:rFonts w:ascii="宋体" w:hAnsi="宋体"/>
              </w:rPr>
            </w:pPr>
            <w:r>
              <w:rPr>
                <w:rFonts w:hint="eastAsia" w:ascii="宋体" w:hAnsi="宋体"/>
              </w:rPr>
              <w:t>最后修改日期</w:t>
            </w:r>
          </w:p>
        </w:tc>
        <w:tc>
          <w:tcPr>
            <w:tcW w:w="2274" w:type="dxa"/>
            <w:vAlign w:val="center"/>
          </w:tcPr>
          <w:p>
            <w:pPr>
              <w:pStyle w:val="53"/>
              <w:rPr>
                <w:rFonts w:ascii="宋体" w:hAnsi="宋体"/>
              </w:rPr>
            </w:pPr>
            <w:r>
              <w:rPr>
                <w:rFonts w:hint="eastAsia" w:ascii="宋体" w:hAnsi="宋体"/>
              </w:rPr>
              <w:t>2016-4-20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74" w:type="dxa"/>
            <w:shd w:val="clear" w:color="auto" w:fill="E0E0E0"/>
            <w:vAlign w:val="center"/>
          </w:tcPr>
          <w:p>
            <w:pPr>
              <w:pStyle w:val="53"/>
              <w:rPr>
                <w:rFonts w:ascii="宋体" w:hAnsi="宋体"/>
              </w:rPr>
            </w:pPr>
            <w:r>
              <w:rPr>
                <w:rFonts w:hint="eastAsia" w:ascii="宋体" w:hAnsi="宋体"/>
              </w:rPr>
              <w:t>审  核   人</w:t>
            </w:r>
          </w:p>
        </w:tc>
        <w:tc>
          <w:tcPr>
            <w:tcW w:w="2274" w:type="dxa"/>
            <w:vAlign w:val="center"/>
          </w:tcPr>
          <w:p>
            <w:pPr>
              <w:pStyle w:val="53"/>
              <w:rPr>
                <w:rFonts w:ascii="宋体" w:hAnsi="宋体"/>
              </w:rPr>
            </w:pPr>
          </w:p>
        </w:tc>
        <w:tc>
          <w:tcPr>
            <w:tcW w:w="2274" w:type="dxa"/>
            <w:shd w:val="clear" w:color="auto" w:fill="E0E0E0"/>
            <w:vAlign w:val="center"/>
          </w:tcPr>
          <w:p>
            <w:pPr>
              <w:pStyle w:val="53"/>
              <w:rPr>
                <w:rFonts w:ascii="宋体" w:hAnsi="宋体"/>
              </w:rPr>
            </w:pPr>
            <w:r>
              <w:rPr>
                <w:rFonts w:hint="eastAsia" w:ascii="宋体" w:hAnsi="宋体"/>
              </w:rPr>
              <w:t>最后审批日期</w:t>
            </w:r>
          </w:p>
        </w:tc>
        <w:tc>
          <w:tcPr>
            <w:tcW w:w="2274" w:type="dxa"/>
            <w:vAlign w:val="center"/>
          </w:tcPr>
          <w:p>
            <w:pPr>
              <w:pStyle w:val="53"/>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274" w:type="dxa"/>
            <w:shd w:val="clear" w:color="auto" w:fill="E0E0E0"/>
            <w:vAlign w:val="center"/>
          </w:tcPr>
          <w:p>
            <w:pPr>
              <w:pStyle w:val="53"/>
              <w:rPr>
                <w:rFonts w:ascii="宋体" w:hAnsi="宋体"/>
              </w:rPr>
            </w:pPr>
            <w:r>
              <w:rPr>
                <w:rFonts w:hint="eastAsia" w:ascii="宋体" w:hAnsi="宋体"/>
              </w:rPr>
              <w:t>批  准   人</w:t>
            </w:r>
          </w:p>
        </w:tc>
        <w:tc>
          <w:tcPr>
            <w:tcW w:w="2274" w:type="dxa"/>
            <w:vAlign w:val="center"/>
          </w:tcPr>
          <w:p>
            <w:pPr>
              <w:pStyle w:val="53"/>
              <w:rPr>
                <w:rFonts w:hint="eastAsia" w:ascii="宋体" w:hAnsi="宋体" w:eastAsia="宋体"/>
                <w:lang w:eastAsia="zh-CN"/>
              </w:rPr>
            </w:pPr>
            <w:r>
              <w:rPr>
                <w:rFonts w:hint="eastAsia" w:ascii="宋体" w:hAnsi="宋体"/>
                <w:lang w:val="en-US" w:eastAsia="zh-CN"/>
              </w:rPr>
              <w:t>某某2</w:t>
            </w:r>
          </w:p>
        </w:tc>
        <w:tc>
          <w:tcPr>
            <w:tcW w:w="2274" w:type="dxa"/>
            <w:shd w:val="clear" w:color="auto" w:fill="E0E0E0"/>
            <w:vAlign w:val="center"/>
          </w:tcPr>
          <w:p>
            <w:pPr>
              <w:pStyle w:val="53"/>
              <w:rPr>
                <w:rFonts w:ascii="宋体" w:hAnsi="宋体"/>
              </w:rPr>
            </w:pPr>
            <w:r>
              <w:rPr>
                <w:rFonts w:hint="eastAsia" w:ascii="宋体" w:hAnsi="宋体"/>
              </w:rPr>
              <w:t>最后批准日期</w:t>
            </w:r>
          </w:p>
        </w:tc>
        <w:tc>
          <w:tcPr>
            <w:tcW w:w="2274" w:type="dxa"/>
            <w:vAlign w:val="center"/>
          </w:tcPr>
          <w:p>
            <w:pPr>
              <w:pStyle w:val="53"/>
              <w:rPr>
                <w:rFonts w:ascii="宋体" w:hAnsi="宋体"/>
              </w:rPr>
            </w:pPr>
          </w:p>
        </w:tc>
      </w:tr>
    </w:tbl>
    <w:p>
      <w:pPr>
        <w:pStyle w:val="3"/>
        <w:rPr>
          <w:rFonts w:ascii="宋体" w:hAnsi="宋体"/>
        </w:rPr>
      </w:pPr>
    </w:p>
    <w:p>
      <w:pPr>
        <w:pStyle w:val="3"/>
        <w:rPr>
          <w:rFonts w:ascii="宋体" w:hAnsi="宋体"/>
        </w:rPr>
      </w:pPr>
    </w:p>
    <w:p>
      <w:pPr>
        <w:pStyle w:val="3"/>
        <w:rPr>
          <w:rFonts w:ascii="宋体" w:hAnsi="宋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230" w:bottom="1440" w:left="1230" w:header="851" w:footer="992" w:gutter="0"/>
          <w:pgNumType w:fmt="upperRoman" w:start="1"/>
          <w:cols w:space="425" w:num="1"/>
          <w:titlePg/>
          <w:docGrid w:type="linesAndChars" w:linePitch="312" w:charSpace="0"/>
        </w:sectPr>
      </w:pPr>
    </w:p>
    <w:p>
      <w:pPr>
        <w:pStyle w:val="51"/>
        <w:rPr>
          <w:rFonts w:ascii="宋体" w:hAnsi="宋体" w:eastAsia="宋体"/>
        </w:rPr>
      </w:pPr>
      <w:bookmarkStart w:id="0" w:name="_Toc171766334"/>
      <w:bookmarkStart w:id="1" w:name="_Toc171766597"/>
      <w:r>
        <w:rPr>
          <w:rFonts w:hint="eastAsia" w:ascii="宋体" w:hAnsi="宋体" w:eastAsia="宋体"/>
        </w:rPr>
        <w:t>修改记录</w:t>
      </w:r>
      <w:bookmarkEnd w:id="0"/>
      <w:bookmarkEnd w:id="1"/>
    </w:p>
    <w:tbl>
      <w:tblPr>
        <w:tblStyle w:val="45"/>
        <w:tblW w:w="9288" w:type="dxa"/>
        <w:tblInd w:w="169"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68"/>
        <w:gridCol w:w="900"/>
        <w:gridCol w:w="1620"/>
        <w:gridCol w:w="3960"/>
        <w:gridCol w:w="144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331" w:hRule="atLeast"/>
        </w:trPr>
        <w:tc>
          <w:tcPr>
            <w:tcW w:w="1368" w:type="dxa"/>
            <w:tcBorders>
              <w:top w:val="single" w:color="000000" w:sz="8" w:space="0"/>
              <w:left w:val="single" w:color="000000" w:sz="8" w:space="0"/>
              <w:bottom w:val="single" w:color="000000" w:sz="6" w:space="0"/>
            </w:tcBorders>
            <w:shd w:val="clear" w:color="auto" w:fill="CCCCCC"/>
            <w:vAlign w:val="center"/>
          </w:tcPr>
          <w:p>
            <w:pPr>
              <w:pStyle w:val="53"/>
              <w:rPr>
                <w:rFonts w:ascii="宋体" w:hAnsi="宋体"/>
              </w:rPr>
            </w:pPr>
            <w:r>
              <w:rPr>
                <w:rFonts w:hint="eastAsia" w:ascii="宋体" w:hAnsi="宋体"/>
              </w:rPr>
              <w:t>日期</w:t>
            </w:r>
          </w:p>
        </w:tc>
        <w:tc>
          <w:tcPr>
            <w:tcW w:w="900" w:type="dxa"/>
            <w:tcBorders>
              <w:top w:val="single" w:color="000000" w:sz="8" w:space="0"/>
              <w:bottom w:val="single" w:color="000000" w:sz="6" w:space="0"/>
            </w:tcBorders>
            <w:shd w:val="clear" w:color="auto" w:fill="CCCCCC"/>
            <w:vAlign w:val="center"/>
          </w:tcPr>
          <w:p>
            <w:pPr>
              <w:pStyle w:val="53"/>
              <w:rPr>
                <w:rFonts w:ascii="宋体" w:hAnsi="宋体"/>
              </w:rPr>
            </w:pPr>
            <w:r>
              <w:rPr>
                <w:rFonts w:hint="eastAsia" w:ascii="宋体" w:hAnsi="宋体"/>
              </w:rPr>
              <w:t>版本</w:t>
            </w:r>
          </w:p>
        </w:tc>
        <w:tc>
          <w:tcPr>
            <w:tcW w:w="1620" w:type="dxa"/>
            <w:tcBorders>
              <w:top w:val="single" w:color="000000" w:sz="8" w:space="0"/>
              <w:bottom w:val="single" w:color="000000" w:sz="6" w:space="0"/>
            </w:tcBorders>
            <w:shd w:val="clear" w:color="auto" w:fill="CCCCCC"/>
            <w:vAlign w:val="center"/>
          </w:tcPr>
          <w:p>
            <w:pPr>
              <w:pStyle w:val="53"/>
              <w:rPr>
                <w:rFonts w:ascii="宋体" w:hAnsi="宋体"/>
              </w:rPr>
            </w:pPr>
            <w:r>
              <w:rPr>
                <w:rFonts w:hint="eastAsia" w:ascii="宋体" w:hAnsi="宋体"/>
              </w:rPr>
              <w:t>作者/修改者</w:t>
            </w:r>
          </w:p>
        </w:tc>
        <w:tc>
          <w:tcPr>
            <w:tcW w:w="3960" w:type="dxa"/>
            <w:tcBorders>
              <w:top w:val="single" w:color="000000" w:sz="8" w:space="0"/>
              <w:bottom w:val="single" w:color="000000" w:sz="6" w:space="0"/>
              <w:right w:val="single" w:color="auto" w:sz="4" w:space="0"/>
            </w:tcBorders>
            <w:shd w:val="clear" w:color="auto" w:fill="CCCCCC"/>
            <w:vAlign w:val="center"/>
          </w:tcPr>
          <w:p>
            <w:pPr>
              <w:pStyle w:val="53"/>
              <w:rPr>
                <w:rFonts w:ascii="宋体" w:hAnsi="宋体"/>
              </w:rPr>
            </w:pPr>
            <w:r>
              <w:rPr>
                <w:rFonts w:hint="eastAsia" w:ascii="宋体" w:hAnsi="宋体"/>
              </w:rPr>
              <w:t>描述</w:t>
            </w:r>
          </w:p>
        </w:tc>
        <w:tc>
          <w:tcPr>
            <w:tcW w:w="1440" w:type="dxa"/>
            <w:tcBorders>
              <w:top w:val="single" w:color="000000" w:sz="8" w:space="0"/>
              <w:left w:val="single" w:color="auto" w:sz="4" w:space="0"/>
              <w:bottom w:val="single" w:color="000000" w:sz="6" w:space="0"/>
              <w:right w:val="single" w:color="000000" w:sz="8" w:space="0"/>
            </w:tcBorders>
            <w:shd w:val="clear" w:color="auto" w:fill="CCCCCC"/>
            <w:vAlign w:val="center"/>
          </w:tcPr>
          <w:p>
            <w:pPr>
              <w:pStyle w:val="53"/>
              <w:rPr>
                <w:rFonts w:ascii="宋体" w:hAnsi="宋体"/>
              </w:rPr>
            </w:pPr>
            <w:r>
              <w:rPr>
                <w:rFonts w:hint="eastAsia" w:ascii="宋体" w:hAnsi="宋体"/>
              </w:rPr>
              <w:t>审核人</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r>
              <w:rPr>
                <w:rFonts w:ascii="宋体" w:hAnsi="宋体"/>
              </w:rPr>
              <w:t>2016-4-20</w:t>
            </w: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hint="eastAsia" w:ascii="宋体" w:hAnsi="宋体" w:eastAsia="宋体"/>
                <w:lang w:val="en-US" w:eastAsia="zh-CN"/>
              </w:rPr>
            </w:pPr>
            <w:r>
              <w:rPr>
                <w:rFonts w:hint="eastAsia" w:ascii="宋体" w:hAnsi="宋体"/>
                <w:lang w:val="en-US" w:eastAsia="zh-CN"/>
              </w:rPr>
              <w:t>Xx</w:t>
            </w:r>
            <w:bookmarkStart w:id="107" w:name="_GoBack"/>
            <w:bookmarkEnd w:id="107"/>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r>
              <w:rPr>
                <w:rFonts w:hint="eastAsia" w:ascii="宋体" w:hAnsi="宋体"/>
              </w:rPr>
              <w:t>初始建立</w:t>
            </w: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ascii="宋体" w:hAnsi="宋体"/>
              </w:rPr>
            </w:pPr>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ascii="宋体" w:hAnsi="宋体"/>
              </w:rPr>
            </w:pPr>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ascii="宋体" w:hAnsi="宋体"/>
              </w:rPr>
            </w:pPr>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ascii="宋体" w:hAnsi="宋体"/>
              </w:rPr>
            </w:pPr>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6" w:space="0"/>
            </w:tcBorders>
            <w:vAlign w:val="center"/>
          </w:tcPr>
          <w:p>
            <w:pPr>
              <w:pStyle w:val="52"/>
              <w:rPr>
                <w:rFonts w:ascii="宋体" w:hAnsi="宋体"/>
              </w:rPr>
            </w:pPr>
          </w:p>
        </w:tc>
        <w:tc>
          <w:tcPr>
            <w:tcW w:w="900" w:type="dxa"/>
            <w:tcBorders>
              <w:top w:val="single" w:color="000000" w:sz="6" w:space="0"/>
              <w:bottom w:val="single" w:color="000000" w:sz="6" w:space="0"/>
            </w:tcBorders>
            <w:vAlign w:val="center"/>
          </w:tcPr>
          <w:p>
            <w:pPr>
              <w:pStyle w:val="52"/>
              <w:rPr>
                <w:rFonts w:ascii="宋体" w:hAnsi="宋体"/>
              </w:rPr>
            </w:pPr>
          </w:p>
        </w:tc>
        <w:tc>
          <w:tcPr>
            <w:tcW w:w="1620" w:type="dxa"/>
            <w:tcBorders>
              <w:top w:val="single" w:color="000000" w:sz="6" w:space="0"/>
              <w:bottom w:val="single" w:color="000000" w:sz="6" w:space="0"/>
            </w:tcBorders>
            <w:vAlign w:val="center"/>
          </w:tcPr>
          <w:p>
            <w:pPr>
              <w:pStyle w:val="52"/>
              <w:rPr>
                <w:rFonts w:ascii="宋体" w:hAnsi="宋体"/>
                <w:sz w:val="20"/>
              </w:rPr>
            </w:pPr>
          </w:p>
        </w:tc>
        <w:tc>
          <w:tcPr>
            <w:tcW w:w="3960" w:type="dxa"/>
            <w:tcBorders>
              <w:top w:val="single" w:color="000000" w:sz="6" w:space="0"/>
              <w:bottom w:val="single" w:color="000000" w:sz="6"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6" w:space="0"/>
              <w:right w:val="single" w:color="000000" w:sz="8" w:space="0"/>
            </w:tcBorders>
            <w:vAlign w:val="center"/>
          </w:tcPr>
          <w:p>
            <w:pPr>
              <w:pStyle w:val="52"/>
              <w:rPr>
                <w:rFonts w:ascii="宋体" w:hAnsi="宋体"/>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284" w:hRule="atLeast"/>
        </w:trPr>
        <w:tc>
          <w:tcPr>
            <w:tcW w:w="1368" w:type="dxa"/>
            <w:tcBorders>
              <w:top w:val="single" w:color="000000" w:sz="6" w:space="0"/>
              <w:left w:val="single" w:color="000000" w:sz="8" w:space="0"/>
              <w:bottom w:val="single" w:color="000000" w:sz="8" w:space="0"/>
            </w:tcBorders>
            <w:vAlign w:val="center"/>
          </w:tcPr>
          <w:p>
            <w:pPr>
              <w:pStyle w:val="52"/>
              <w:rPr>
                <w:rFonts w:ascii="宋体" w:hAnsi="宋体"/>
              </w:rPr>
            </w:pPr>
          </w:p>
        </w:tc>
        <w:tc>
          <w:tcPr>
            <w:tcW w:w="900" w:type="dxa"/>
            <w:tcBorders>
              <w:top w:val="single" w:color="000000" w:sz="6" w:space="0"/>
              <w:bottom w:val="single" w:color="000000" w:sz="8" w:space="0"/>
            </w:tcBorders>
            <w:vAlign w:val="center"/>
          </w:tcPr>
          <w:p>
            <w:pPr>
              <w:pStyle w:val="52"/>
              <w:rPr>
                <w:rFonts w:ascii="宋体" w:hAnsi="宋体"/>
              </w:rPr>
            </w:pPr>
          </w:p>
        </w:tc>
        <w:tc>
          <w:tcPr>
            <w:tcW w:w="1620" w:type="dxa"/>
            <w:tcBorders>
              <w:top w:val="single" w:color="000000" w:sz="6" w:space="0"/>
              <w:bottom w:val="single" w:color="000000" w:sz="8" w:space="0"/>
            </w:tcBorders>
            <w:vAlign w:val="center"/>
          </w:tcPr>
          <w:p>
            <w:pPr>
              <w:pStyle w:val="52"/>
              <w:rPr>
                <w:rFonts w:ascii="宋体" w:hAnsi="宋体"/>
              </w:rPr>
            </w:pPr>
          </w:p>
        </w:tc>
        <w:tc>
          <w:tcPr>
            <w:tcW w:w="3960" w:type="dxa"/>
            <w:tcBorders>
              <w:top w:val="single" w:color="000000" w:sz="6" w:space="0"/>
              <w:bottom w:val="single" w:color="000000" w:sz="8" w:space="0"/>
              <w:right w:val="single" w:color="auto" w:sz="4" w:space="0"/>
            </w:tcBorders>
            <w:vAlign w:val="center"/>
          </w:tcPr>
          <w:p>
            <w:pPr>
              <w:pStyle w:val="52"/>
              <w:rPr>
                <w:rFonts w:ascii="宋体" w:hAnsi="宋体"/>
              </w:rPr>
            </w:pPr>
          </w:p>
        </w:tc>
        <w:tc>
          <w:tcPr>
            <w:tcW w:w="1440" w:type="dxa"/>
            <w:tcBorders>
              <w:top w:val="single" w:color="000000" w:sz="6" w:space="0"/>
              <w:left w:val="single" w:color="auto" w:sz="4" w:space="0"/>
              <w:bottom w:val="single" w:color="000000" w:sz="8" w:space="0"/>
              <w:right w:val="single" w:color="000000" w:sz="8" w:space="0"/>
            </w:tcBorders>
            <w:vAlign w:val="center"/>
          </w:tcPr>
          <w:p>
            <w:pPr>
              <w:pStyle w:val="52"/>
              <w:rPr>
                <w:rFonts w:ascii="宋体" w:hAnsi="宋体"/>
              </w:rPr>
            </w:pPr>
          </w:p>
        </w:tc>
      </w:tr>
    </w:tbl>
    <w:p>
      <w:pPr>
        <w:pStyle w:val="50"/>
        <w:rPr>
          <w:rFonts w:ascii="宋体" w:hAnsi="宋体" w:eastAsia="宋体"/>
        </w:rPr>
        <w:sectPr>
          <w:headerReference r:id="rId10" w:type="first"/>
          <w:footerReference r:id="rId11" w:type="first"/>
          <w:headerReference r:id="rId9" w:type="default"/>
          <w:pgSz w:w="11906" w:h="16838"/>
          <w:pgMar w:top="1440" w:right="1230" w:bottom="1440" w:left="1230" w:header="851" w:footer="992" w:gutter="0"/>
          <w:pgNumType w:fmt="upperRoman"/>
          <w:cols w:space="425" w:num="1"/>
          <w:docGrid w:type="linesAndChars" w:linePitch="312" w:charSpace="0"/>
        </w:sectPr>
      </w:pPr>
    </w:p>
    <w:p>
      <w:pPr>
        <w:pStyle w:val="27"/>
        <w:tabs>
          <w:tab w:val="left" w:pos="420"/>
          <w:tab w:val="right" w:leader="dot" w:pos="9436"/>
        </w:tabs>
      </w:pPr>
      <w:bookmarkStart w:id="2" w:name="_Toc171766598"/>
      <w:bookmarkStart w:id="3" w:name="_Toc171766335"/>
      <w:r>
        <w:rPr>
          <w:rFonts w:hint="eastAsia" w:ascii="宋体" w:hAnsi="宋体"/>
        </w:rPr>
        <w:t>目 录</w:t>
      </w:r>
      <w:bookmarkEnd w:id="2"/>
      <w:bookmarkEnd w:id="3"/>
      <w:r>
        <w:rPr>
          <w:rFonts w:ascii="宋体" w:hAnsi="宋体"/>
        </w:rPr>
        <w:fldChar w:fldCharType="begin"/>
      </w:r>
      <w:r>
        <w:rPr>
          <w:rFonts w:ascii="宋体" w:hAnsi="宋体"/>
        </w:rPr>
        <w:instrText xml:space="preserve"> TOC \o "1-4" \h \z \u </w:instrText>
      </w:r>
      <w:r>
        <w:rPr>
          <w:rFonts w:ascii="宋体" w:hAnsi="宋体"/>
        </w:rPr>
        <w:fldChar w:fldCharType="separate"/>
      </w:r>
    </w:p>
    <w:p>
      <w:pPr>
        <w:pStyle w:val="27"/>
        <w:tabs>
          <w:tab w:val="left" w:pos="420"/>
          <w:tab w:val="right" w:leader="dot" w:pos="9436"/>
        </w:tabs>
        <w:rPr>
          <w:rFonts w:asciiTheme="minorHAnsi" w:hAnsiTheme="minorHAnsi" w:eastAsiaTheme="minorEastAsia" w:cstheme="minorBidi"/>
          <w:szCs w:val="22"/>
        </w:rPr>
      </w:pPr>
      <w:r>
        <w:fldChar w:fldCharType="begin"/>
      </w:r>
      <w:r>
        <w:instrText xml:space="preserve"> HYPERLINK \l "_Toc447184067" </w:instrText>
      </w:r>
      <w:r>
        <w:fldChar w:fldCharType="separate"/>
      </w:r>
      <w:r>
        <w:rPr>
          <w:rStyle w:val="43"/>
          <w:rFonts w:ascii="宋体" w:hAnsi="宋体"/>
        </w:rPr>
        <w:t>1</w:t>
      </w:r>
      <w:r>
        <w:rPr>
          <w:rFonts w:asciiTheme="minorHAnsi" w:hAnsiTheme="minorHAnsi" w:eastAsiaTheme="minorEastAsia" w:cstheme="minorBidi"/>
          <w:szCs w:val="22"/>
        </w:rPr>
        <w:tab/>
      </w:r>
      <w:r>
        <w:rPr>
          <w:rStyle w:val="43"/>
          <w:rFonts w:hint="eastAsia" w:ascii="宋体" w:hAnsi="宋体"/>
        </w:rPr>
        <w:t>导言</w:t>
      </w:r>
      <w:r>
        <w:tab/>
      </w:r>
      <w:r>
        <w:fldChar w:fldCharType="begin"/>
      </w:r>
      <w:r>
        <w:instrText xml:space="preserve"> PAGEREF _Toc447184067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"_Toc447184068" </w:instrText>
      </w:r>
      <w:r>
        <w:fldChar w:fldCharType="separate"/>
      </w:r>
      <w:r>
        <w:rPr>
          <w:rStyle w:val="43"/>
          <w:snapToGrid w:val="0"/>
          <w:w w:val="0"/>
          <w:kern w:val="0"/>
        </w:rPr>
        <w:t>1.1</w:t>
      </w:r>
      <w:r>
        <w:rPr>
          <w:rFonts w:asciiTheme="minorHAnsi" w:hAnsiTheme="minorHAnsi" w:eastAsiaTheme="minorEastAsia" w:cstheme="minorBidi"/>
          <w:szCs w:val="22"/>
        </w:rPr>
        <w:tab/>
      </w:r>
      <w:r>
        <w:rPr>
          <w:rStyle w:val="43"/>
          <w:rFonts w:hint="eastAsia"/>
        </w:rPr>
        <w:t>背景</w:t>
      </w:r>
      <w:r>
        <w:tab/>
      </w:r>
      <w:r>
        <w:fldChar w:fldCharType="begin"/>
      </w:r>
      <w:r>
        <w:instrText xml:space="preserve"> PAGEREF _Toc447184068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"_Toc447184069" </w:instrText>
      </w:r>
      <w:r>
        <w:fldChar w:fldCharType="separate"/>
      </w:r>
      <w:r>
        <w:rPr>
          <w:rStyle w:val="43"/>
          <w:snapToGrid w:val="0"/>
          <w:w w:val="0"/>
          <w:kern w:val="0"/>
        </w:rPr>
        <w:t>1.2</w:t>
      </w:r>
      <w:r>
        <w:rPr>
          <w:rFonts w:asciiTheme="minorHAnsi" w:hAnsiTheme="minorHAnsi" w:eastAsiaTheme="minorEastAsia" w:cstheme="minorBidi"/>
          <w:szCs w:val="22"/>
        </w:rPr>
        <w:tab/>
      </w:r>
      <w:r>
        <w:rPr>
          <w:rStyle w:val="43"/>
          <w:rFonts w:hint="eastAsia" w:ascii="宋体" w:hAnsi="宋体"/>
        </w:rPr>
        <w:t>范围</w:t>
      </w:r>
      <w:r>
        <w:tab/>
      </w:r>
      <w:r>
        <w:fldChar w:fldCharType="begin"/>
      </w:r>
      <w:r>
        <w:instrText xml:space="preserve"> PAGEREF _Toc447184069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"_Toc447184070" </w:instrText>
      </w:r>
      <w:r>
        <w:fldChar w:fldCharType="separate"/>
      </w:r>
      <w:r>
        <w:rPr>
          <w:rStyle w:val="43"/>
          <w:snapToGrid w:val="0"/>
          <w:w w:val="0"/>
          <w:kern w:val="0"/>
        </w:rPr>
        <w:t>1.3</w:t>
      </w:r>
      <w:r>
        <w:rPr>
          <w:rFonts w:asciiTheme="minorHAnsi" w:hAnsiTheme="minorHAnsi" w:eastAsiaTheme="minorEastAsia" w:cstheme="minorBidi"/>
          <w:szCs w:val="22"/>
        </w:rPr>
        <w:tab/>
      </w:r>
      <w:r>
        <w:rPr>
          <w:rStyle w:val="43"/>
          <w:rFonts w:hint="eastAsia" w:ascii="宋体" w:hAnsi="宋体"/>
        </w:rPr>
        <w:t>术语定义</w:t>
      </w:r>
      <w:r>
        <w:tab/>
      </w:r>
      <w:r>
        <w:fldChar w:fldCharType="begin"/>
      </w:r>
      <w:r>
        <w:instrText xml:space="preserve"> PAGEREF _Toc447184070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"_Toc447184071" </w:instrText>
      </w:r>
      <w:r>
        <w:fldChar w:fldCharType="separate"/>
      </w:r>
      <w:r>
        <w:rPr>
          <w:rStyle w:val="43"/>
          <w:snapToGrid w:val="0"/>
          <w:w w:val="0"/>
          <w:kern w:val="0"/>
        </w:rPr>
        <w:t>1.4</w:t>
      </w:r>
      <w:r>
        <w:rPr>
          <w:rFonts w:asciiTheme="minorHAnsi" w:hAnsiTheme="minorHAnsi" w:eastAsiaTheme="minorEastAsia" w:cstheme="minorBidi"/>
          <w:szCs w:val="22"/>
        </w:rPr>
        <w:tab/>
      </w:r>
      <w:r>
        <w:rPr>
          <w:rStyle w:val="43"/>
          <w:rFonts w:hint="eastAsia" w:ascii="宋体" w:hAnsi="宋体"/>
        </w:rPr>
        <w:t>参考资料</w:t>
      </w:r>
      <w:r>
        <w:tab/>
      </w:r>
      <w:r>
        <w:fldChar w:fldCharType="begin"/>
      </w:r>
      <w:r>
        <w:instrText xml:space="preserve"> PAGEREF _Toc447184071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"_Toc447184072" </w:instrText>
      </w:r>
      <w:r>
        <w:fldChar w:fldCharType="separate"/>
      </w:r>
      <w:r>
        <w:rPr>
          <w:rStyle w:val="43"/>
          <w:snapToGrid w:val="0"/>
          <w:w w:val="0"/>
          <w:kern w:val="0"/>
        </w:rPr>
        <w:t>1.5</w:t>
      </w:r>
      <w:r>
        <w:rPr>
          <w:rFonts w:asciiTheme="minorHAnsi" w:hAnsiTheme="minorHAnsi" w:eastAsiaTheme="minorEastAsia" w:cstheme="minorBidi"/>
          <w:szCs w:val="22"/>
        </w:rPr>
        <w:tab/>
      </w:r>
      <w:r>
        <w:rPr>
          <w:rStyle w:val="43"/>
          <w:rFonts w:hint="eastAsia" w:ascii="宋体" w:hAnsi="宋体"/>
        </w:rPr>
        <w:t>文档说明</w:t>
      </w:r>
      <w:r>
        <w:tab/>
      </w:r>
      <w:r>
        <w:fldChar w:fldCharType="begin"/>
      </w:r>
      <w:r>
        <w:instrText xml:space="preserve"> PAGEREF _Toc447184072 \h </w:instrText>
      </w:r>
      <w:r>
        <w:fldChar w:fldCharType="separate"/>
      </w:r>
      <w:r>
        <w:t>1</w:t>
      </w:r>
      <w:r>
        <w:fldChar w:fldCharType="end"/>
      </w:r>
      <w:r>
        <w:fldChar w:fldCharType="end"/>
      </w:r>
    </w:p>
    <w:p>
      <w:pPr>
        <w:pStyle w:val="27"/>
        <w:tabs>
          <w:tab w:val="left" w:pos="420"/>
          <w:tab w:val="right" w:leader="dot" w:pos="9436"/>
        </w:tabs>
        <w:rPr>
          <w:rFonts w:asciiTheme="minorHAnsi" w:hAnsiTheme="minorHAnsi" w:eastAsiaTheme="minorEastAsia" w:cstheme="minorBidi"/>
          <w:szCs w:val="22"/>
        </w:rPr>
      </w:pPr>
      <w:r>
        <w:fldChar w:fldCharType="begin"/>
      </w:r>
      <w:r>
        <w:instrText xml:space="preserve"> HYPERLINK \l "_Toc447184073" </w:instrText>
      </w:r>
      <w:r>
        <w:fldChar w:fldCharType="separate"/>
      </w:r>
      <w:r>
        <w:rPr>
          <w:rStyle w:val="43"/>
          <w:rFonts w:ascii="宋体" w:hAnsi="宋体"/>
        </w:rPr>
        <w:t>2</w:t>
      </w:r>
      <w:r>
        <w:rPr>
          <w:rFonts w:asciiTheme="minorHAnsi" w:hAnsiTheme="minorHAnsi" w:eastAsiaTheme="minorEastAsia" w:cstheme="minorBidi"/>
          <w:szCs w:val="22"/>
        </w:rPr>
        <w:tab/>
      </w:r>
      <w:r>
        <w:rPr>
          <w:rStyle w:val="43"/>
          <w:rFonts w:hint="eastAsia" w:ascii="宋体" w:hAnsi="宋体"/>
        </w:rPr>
        <w:t>功能说明</w:t>
      </w:r>
      <w:r>
        <w:tab/>
      </w:r>
      <w:r>
        <w:fldChar w:fldCharType="begin"/>
      </w:r>
      <w:r>
        <w:instrText xml:space="preserve"> PAGEREF _Toc447184073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"_Toc447184074" </w:instrText>
      </w:r>
      <w:r>
        <w:fldChar w:fldCharType="separate"/>
      </w:r>
      <w:r>
        <w:rPr>
          <w:rStyle w:val="43"/>
          <w:snapToGrid w:val="0"/>
          <w:w w:val="0"/>
          <w:kern w:val="0"/>
        </w:rPr>
        <w:t>2.1</w:t>
      </w:r>
      <w:r>
        <w:rPr>
          <w:rFonts w:asciiTheme="minorHAnsi" w:hAnsiTheme="minorHAnsi" w:eastAsiaTheme="minorEastAsia" w:cstheme="minorBidi"/>
          <w:szCs w:val="22"/>
        </w:rPr>
        <w:tab/>
      </w:r>
      <w:r>
        <w:rPr>
          <w:rStyle w:val="43"/>
          <w:rFonts w:hint="eastAsia" w:ascii="宋体" w:hAnsi="宋体"/>
        </w:rPr>
        <w:t>功能描述</w:t>
      </w:r>
      <w:r>
        <w:tab/>
      </w:r>
      <w:r>
        <w:fldChar w:fldCharType="begin"/>
      </w:r>
      <w:r>
        <w:instrText xml:space="preserve"> PAGEREF _Toc447184074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"_Toc447184075" </w:instrText>
      </w:r>
      <w:r>
        <w:fldChar w:fldCharType="separate"/>
      </w:r>
      <w:r>
        <w:rPr>
          <w:rStyle w:val="43"/>
          <w:snapToGrid w:val="0"/>
          <w:w w:val="0"/>
          <w:kern w:val="0"/>
        </w:rPr>
        <w:t>2.2</w:t>
      </w:r>
      <w:r>
        <w:rPr>
          <w:rFonts w:asciiTheme="minorHAnsi" w:hAnsiTheme="minorHAnsi" w:eastAsiaTheme="minorEastAsia" w:cstheme="minorBidi"/>
          <w:szCs w:val="22"/>
        </w:rPr>
        <w:tab/>
      </w:r>
      <w:r>
        <w:rPr>
          <w:rStyle w:val="43"/>
          <w:rFonts w:hint="eastAsia" w:ascii="宋体" w:hAnsi="宋体"/>
        </w:rPr>
        <w:t>该功能涉及的交易</w:t>
      </w:r>
      <w:r>
        <w:tab/>
      </w:r>
      <w:r>
        <w:fldChar w:fldCharType="begin"/>
      </w:r>
      <w:r>
        <w:instrText xml:space="preserve"> PAGEREF _Toc447184075 \h </w:instrText>
      </w:r>
      <w:r>
        <w:fldChar w:fldCharType="separate"/>
      </w:r>
      <w:r>
        <w:t>1</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"_Toc447184076" </w:instrText>
      </w:r>
      <w:r>
        <w:fldChar w:fldCharType="separate"/>
      </w:r>
      <w:r>
        <w:rPr>
          <w:rStyle w:val="43"/>
          <w:snapToGrid w:val="0"/>
          <w:w w:val="0"/>
          <w:kern w:val="0"/>
        </w:rPr>
        <w:t>2.3</w:t>
      </w:r>
      <w:r>
        <w:rPr>
          <w:rFonts w:asciiTheme="minorHAnsi" w:hAnsiTheme="minorHAnsi" w:eastAsiaTheme="minorEastAsia" w:cstheme="minorBidi"/>
          <w:szCs w:val="22"/>
        </w:rPr>
        <w:tab/>
      </w:r>
      <w:r>
        <w:rPr>
          <w:rStyle w:val="43"/>
          <w:rFonts w:hint="eastAsia"/>
        </w:rPr>
        <w:t>揽储统计汇总表</w:t>
      </w:r>
      <w:r>
        <w:tab/>
      </w:r>
      <w:r>
        <w:fldChar w:fldCharType="begin"/>
      </w:r>
      <w:r>
        <w:instrText xml:space="preserve"> PAGEREF _Toc447184076 \h </w:instrText>
      </w:r>
      <w:r>
        <w:fldChar w:fldCharType="separate"/>
      </w:r>
      <w:r>
        <w:t>2</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"_Toc447184081" </w:instrText>
      </w:r>
      <w:r>
        <w:fldChar w:fldCharType="separate"/>
      </w:r>
      <w:r>
        <w:rPr>
          <w:rStyle w:val="43"/>
        </w:rPr>
        <w:t>2.3.1.</w:t>
      </w:r>
      <w:r>
        <w:rPr>
          <w:rFonts w:asciiTheme="minorHAnsi" w:hAnsiTheme="minorHAnsi" w:eastAsiaTheme="minorEastAsia" w:cstheme="minorBidi"/>
          <w:szCs w:val="22"/>
        </w:rPr>
        <w:tab/>
      </w:r>
      <w:r>
        <w:rPr>
          <w:rStyle w:val="43"/>
          <w:rFonts w:hint="eastAsia"/>
        </w:rPr>
        <w:t>功能描述</w:t>
      </w:r>
      <w:r>
        <w:tab/>
      </w:r>
      <w:r>
        <w:fldChar w:fldCharType="begin"/>
      </w:r>
      <w:r>
        <w:instrText xml:space="preserve"> PAGEREF _Toc447184081 \h </w:instrText>
      </w:r>
      <w:r>
        <w:fldChar w:fldCharType="separate"/>
      </w:r>
      <w:r>
        <w:t>2</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"_Toc447184082" </w:instrText>
      </w:r>
      <w:r>
        <w:fldChar w:fldCharType="separate"/>
      </w:r>
      <w:r>
        <w:rPr>
          <w:rStyle w:val="43"/>
        </w:rPr>
        <w:t>2.3.2.</w:t>
      </w:r>
      <w:r>
        <w:rPr>
          <w:rFonts w:asciiTheme="minorHAnsi" w:hAnsiTheme="minorHAnsi" w:eastAsiaTheme="minorEastAsia" w:cstheme="minorBidi"/>
          <w:szCs w:val="22"/>
        </w:rPr>
        <w:tab/>
      </w:r>
      <w:r>
        <w:rPr>
          <w:rStyle w:val="43"/>
          <w:rFonts w:hint="eastAsia"/>
        </w:rPr>
        <w:t>菜单</w:t>
      </w:r>
      <w:r>
        <w:tab/>
      </w:r>
      <w:r>
        <w:fldChar w:fldCharType="begin"/>
      </w:r>
      <w:r>
        <w:instrText xml:space="preserve"> PAGEREF _Toc447184082 \h </w:instrText>
      </w:r>
      <w:r>
        <w:fldChar w:fldCharType="separate"/>
      </w:r>
      <w:r>
        <w:t>2</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"_Toc447184083" </w:instrText>
      </w:r>
      <w:r>
        <w:fldChar w:fldCharType="separate"/>
      </w:r>
      <w:r>
        <w:rPr>
          <w:rStyle w:val="43"/>
        </w:rPr>
        <w:t>2.3.3.</w:t>
      </w:r>
      <w:r>
        <w:rPr>
          <w:rFonts w:asciiTheme="minorHAnsi" w:hAnsiTheme="minorHAnsi" w:eastAsiaTheme="minorEastAsia" w:cstheme="minorBidi"/>
          <w:szCs w:val="22"/>
        </w:rPr>
        <w:tab/>
      </w:r>
      <w:r>
        <w:rPr>
          <w:rStyle w:val="43"/>
          <w:rFonts w:hint="eastAsia"/>
        </w:rPr>
        <w:t>输入输出</w:t>
      </w:r>
      <w:r>
        <w:tab/>
      </w:r>
      <w:r>
        <w:fldChar w:fldCharType="begin"/>
      </w:r>
      <w:r>
        <w:instrText xml:space="preserve"> PAGEREF _Toc447184083 \h </w:instrText>
      </w:r>
      <w:r>
        <w:fldChar w:fldCharType="separate"/>
      </w:r>
      <w:r>
        <w:t>2</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"_Toc447184084" </w:instrText>
      </w:r>
      <w:r>
        <w:fldChar w:fldCharType="separate"/>
      </w:r>
      <w:r>
        <w:rPr>
          <w:rStyle w:val="43"/>
        </w:rPr>
        <w:t>2.3.4.</w:t>
      </w:r>
      <w:r>
        <w:rPr>
          <w:rFonts w:asciiTheme="minorHAnsi" w:hAnsiTheme="minorHAnsi" w:eastAsiaTheme="minorEastAsia" w:cstheme="minorBidi"/>
          <w:szCs w:val="22"/>
        </w:rPr>
        <w:tab/>
      </w:r>
      <w:r>
        <w:rPr>
          <w:rStyle w:val="43"/>
          <w:rFonts w:hint="eastAsia"/>
        </w:rPr>
        <w:t>交易处理</w:t>
      </w:r>
      <w:r>
        <w:tab/>
      </w:r>
      <w:r>
        <w:fldChar w:fldCharType="begin"/>
      </w:r>
      <w:r>
        <w:instrText xml:space="preserve"> PAGEREF _Toc447184084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"_Toc447184085" </w:instrText>
      </w:r>
      <w:r>
        <w:fldChar w:fldCharType="separate"/>
      </w:r>
      <w:r>
        <w:rPr>
          <w:rStyle w:val="43"/>
        </w:rPr>
        <w:t>2.3.5.</w:t>
      </w:r>
      <w:r>
        <w:rPr>
          <w:rFonts w:asciiTheme="minorHAnsi" w:hAnsiTheme="minorHAnsi" w:eastAsiaTheme="minorEastAsia" w:cstheme="minorBidi"/>
          <w:szCs w:val="22"/>
        </w:rPr>
        <w:tab/>
      </w:r>
      <w:r>
        <w:rPr>
          <w:rStyle w:val="43"/>
          <w:rFonts w:hint="eastAsia"/>
        </w:rPr>
        <w:t>特殊计算规则</w:t>
      </w:r>
      <w:r>
        <w:tab/>
      </w:r>
      <w:r>
        <w:fldChar w:fldCharType="begin"/>
      </w:r>
      <w:r>
        <w:instrText xml:space="preserve"> PAGEREF _Toc447184085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"_Toc447184086" </w:instrText>
      </w:r>
      <w:r>
        <w:fldChar w:fldCharType="separate"/>
      </w:r>
      <w:r>
        <w:rPr>
          <w:rStyle w:val="43"/>
        </w:rPr>
        <w:t>2.3.6.</w:t>
      </w:r>
      <w:r>
        <w:rPr>
          <w:rFonts w:asciiTheme="minorHAnsi" w:hAnsiTheme="minorHAnsi" w:eastAsiaTheme="minorEastAsia" w:cstheme="minorBidi"/>
          <w:szCs w:val="22"/>
        </w:rPr>
        <w:tab/>
      </w:r>
      <w:r>
        <w:rPr>
          <w:rStyle w:val="43"/>
          <w:rFonts w:hint="eastAsia"/>
        </w:rPr>
        <w:t>打印凭证</w:t>
      </w:r>
      <w:r>
        <w:tab/>
      </w:r>
      <w:r>
        <w:fldChar w:fldCharType="begin"/>
      </w:r>
      <w:r>
        <w:instrText xml:space="preserve"> PAGEREF _Toc447184086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"_Toc447184087" </w:instrText>
      </w:r>
      <w:r>
        <w:fldChar w:fldCharType="separate"/>
      </w:r>
      <w:r>
        <w:rPr>
          <w:rStyle w:val="43"/>
        </w:rPr>
        <w:t>2.3.7.</w:t>
      </w:r>
      <w:r>
        <w:rPr>
          <w:rFonts w:asciiTheme="minorHAnsi" w:hAnsiTheme="minorHAnsi" w:eastAsiaTheme="minorEastAsia" w:cstheme="minorBidi"/>
          <w:szCs w:val="22"/>
        </w:rPr>
        <w:tab/>
      </w:r>
      <w:r>
        <w:rPr>
          <w:rStyle w:val="43"/>
          <w:rFonts w:hint="eastAsia"/>
        </w:rPr>
        <w:t>会计核算和分录</w:t>
      </w:r>
      <w:r>
        <w:tab/>
      </w:r>
      <w:r>
        <w:fldChar w:fldCharType="begin"/>
      </w:r>
      <w:r>
        <w:instrText xml:space="preserve"> PAGEREF _Toc447184087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"_Toc447184088" </w:instrText>
      </w:r>
      <w:r>
        <w:fldChar w:fldCharType="separate"/>
      </w:r>
      <w:r>
        <w:rPr>
          <w:rStyle w:val="43"/>
        </w:rPr>
        <w:t>2.3.8.</w:t>
      </w:r>
      <w:r>
        <w:rPr>
          <w:rFonts w:asciiTheme="minorHAnsi" w:hAnsiTheme="minorHAnsi" w:eastAsiaTheme="minorEastAsia" w:cstheme="minorBidi"/>
          <w:szCs w:val="22"/>
        </w:rPr>
        <w:tab/>
      </w:r>
      <w:r>
        <w:rPr>
          <w:rStyle w:val="43"/>
          <w:rFonts w:hint="eastAsia"/>
        </w:rPr>
        <w:t>约束条件</w:t>
      </w:r>
      <w:r>
        <w:tab/>
      </w:r>
      <w:r>
        <w:fldChar w:fldCharType="begin"/>
      </w:r>
      <w:r>
        <w:instrText xml:space="preserve"> PAGEREF _Toc447184088 \h </w:instrText>
      </w:r>
      <w:r>
        <w:fldChar w:fldCharType="separate"/>
      </w:r>
      <w:r>
        <w:t>3</w:t>
      </w:r>
      <w:r>
        <w:fldChar w:fldCharType="end"/>
      </w:r>
      <w:r>
        <w:fldChar w:fldCharType="end"/>
      </w:r>
    </w:p>
    <w:p>
      <w:pPr>
        <w:pStyle w:val="34"/>
        <w:tabs>
          <w:tab w:val="left" w:pos="1260"/>
          <w:tab w:val="right" w:leader="dot" w:pos="9436"/>
        </w:tabs>
        <w:rPr>
          <w:rFonts w:asciiTheme="minorHAnsi" w:hAnsiTheme="minorHAnsi" w:eastAsiaTheme="minorEastAsia" w:cstheme="minorBidi"/>
          <w:szCs w:val="22"/>
        </w:rPr>
      </w:pPr>
      <w:r>
        <w:fldChar w:fldCharType="begin"/>
      </w:r>
      <w:r>
        <w:instrText xml:space="preserve"> HYPERLINK \l "_Toc447184089" </w:instrText>
      </w:r>
      <w:r>
        <w:fldChar w:fldCharType="separate"/>
      </w:r>
      <w:r>
        <w:rPr>
          <w:rStyle w:val="43"/>
          <w:snapToGrid w:val="0"/>
          <w:w w:val="0"/>
          <w:kern w:val="0"/>
        </w:rPr>
        <w:t>2.4</w:t>
      </w:r>
      <w:r>
        <w:rPr>
          <w:rFonts w:asciiTheme="minorHAnsi" w:hAnsiTheme="minorHAnsi" w:eastAsiaTheme="minorEastAsia" w:cstheme="minorBidi"/>
          <w:szCs w:val="22"/>
        </w:rPr>
        <w:tab/>
      </w:r>
      <w:r>
        <w:rPr>
          <w:rStyle w:val="43"/>
          <w:rFonts w:hint="eastAsia"/>
        </w:rPr>
        <w:t>揽储统计明细表</w:t>
      </w:r>
      <w:r>
        <w:tab/>
      </w:r>
      <w:r>
        <w:fldChar w:fldCharType="begin"/>
      </w:r>
      <w:r>
        <w:instrText xml:space="preserve"> PAGEREF _Toc447184089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"_Toc447184091" </w:instrText>
      </w:r>
      <w:r>
        <w:fldChar w:fldCharType="separate"/>
      </w:r>
      <w:r>
        <w:rPr>
          <w:rStyle w:val="43"/>
        </w:rPr>
        <w:t>2.4.1.</w:t>
      </w:r>
      <w:r>
        <w:rPr>
          <w:rFonts w:asciiTheme="minorHAnsi" w:hAnsiTheme="minorHAnsi" w:eastAsiaTheme="minorEastAsia" w:cstheme="minorBidi"/>
          <w:szCs w:val="22"/>
        </w:rPr>
        <w:tab/>
      </w:r>
      <w:r>
        <w:rPr>
          <w:rStyle w:val="43"/>
          <w:rFonts w:hint="eastAsia"/>
        </w:rPr>
        <w:t>功能描述</w:t>
      </w:r>
      <w:r>
        <w:tab/>
      </w:r>
      <w:r>
        <w:fldChar w:fldCharType="begin"/>
      </w:r>
      <w:r>
        <w:instrText xml:space="preserve"> PAGEREF _Toc447184091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"_Toc447184092" </w:instrText>
      </w:r>
      <w:r>
        <w:fldChar w:fldCharType="separate"/>
      </w:r>
      <w:r>
        <w:rPr>
          <w:rStyle w:val="43"/>
        </w:rPr>
        <w:t>2.4.2.</w:t>
      </w:r>
      <w:r>
        <w:rPr>
          <w:rFonts w:asciiTheme="minorHAnsi" w:hAnsiTheme="minorHAnsi" w:eastAsiaTheme="minorEastAsia" w:cstheme="minorBidi"/>
          <w:szCs w:val="22"/>
        </w:rPr>
        <w:tab/>
      </w:r>
      <w:r>
        <w:rPr>
          <w:rStyle w:val="43"/>
          <w:rFonts w:hint="eastAsia"/>
        </w:rPr>
        <w:t>菜单</w:t>
      </w:r>
      <w:r>
        <w:tab/>
      </w:r>
      <w:r>
        <w:fldChar w:fldCharType="begin"/>
      </w:r>
      <w:r>
        <w:instrText xml:space="preserve"> PAGEREF _Toc447184092 \h </w:instrText>
      </w:r>
      <w:r>
        <w:fldChar w:fldCharType="separate"/>
      </w:r>
      <w:r>
        <w:t>3</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"_Toc447184093" </w:instrText>
      </w:r>
      <w:r>
        <w:fldChar w:fldCharType="separate"/>
      </w:r>
      <w:r>
        <w:rPr>
          <w:rStyle w:val="43"/>
        </w:rPr>
        <w:t>2.4.3.</w:t>
      </w:r>
      <w:r>
        <w:rPr>
          <w:rFonts w:asciiTheme="minorHAnsi" w:hAnsiTheme="minorHAnsi" w:eastAsiaTheme="minorEastAsia" w:cstheme="minorBidi"/>
          <w:szCs w:val="22"/>
        </w:rPr>
        <w:tab/>
      </w:r>
      <w:r>
        <w:rPr>
          <w:rStyle w:val="43"/>
          <w:rFonts w:hint="eastAsia"/>
        </w:rPr>
        <w:t>输入输出</w:t>
      </w:r>
      <w:r>
        <w:tab/>
      </w:r>
      <w:r>
        <w:fldChar w:fldCharType="begin"/>
      </w:r>
      <w:r>
        <w:instrText xml:space="preserve"> PAGEREF _Toc447184093 \h </w:instrText>
      </w:r>
      <w:r>
        <w:fldChar w:fldCharType="separate"/>
      </w:r>
      <w:r>
        <w:t>4</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"_Toc447184094" </w:instrText>
      </w:r>
      <w:r>
        <w:fldChar w:fldCharType="separate"/>
      </w:r>
      <w:r>
        <w:rPr>
          <w:rStyle w:val="43"/>
        </w:rPr>
        <w:t>2.4.4.</w:t>
      </w:r>
      <w:r>
        <w:rPr>
          <w:rFonts w:asciiTheme="minorHAnsi" w:hAnsiTheme="minorHAnsi" w:eastAsiaTheme="minorEastAsia" w:cstheme="minorBidi"/>
          <w:szCs w:val="22"/>
        </w:rPr>
        <w:tab/>
      </w:r>
      <w:r>
        <w:rPr>
          <w:rStyle w:val="43"/>
          <w:rFonts w:hint="eastAsia"/>
        </w:rPr>
        <w:t>交易处理</w:t>
      </w:r>
      <w:r>
        <w:tab/>
      </w:r>
      <w:r>
        <w:fldChar w:fldCharType="begin"/>
      </w:r>
      <w:r>
        <w:instrText xml:space="preserve"> PAGEREF _Toc447184094 \h </w:instrText>
      </w:r>
      <w:r>
        <w:fldChar w:fldCharType="separate"/>
      </w:r>
      <w:r>
        <w:t>4</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"_Toc447184095" </w:instrText>
      </w:r>
      <w:r>
        <w:fldChar w:fldCharType="separate"/>
      </w:r>
      <w:r>
        <w:rPr>
          <w:rStyle w:val="43"/>
        </w:rPr>
        <w:t>2.4.5.</w:t>
      </w:r>
      <w:r>
        <w:rPr>
          <w:rFonts w:asciiTheme="minorHAnsi" w:hAnsiTheme="minorHAnsi" w:eastAsiaTheme="minorEastAsia" w:cstheme="minorBidi"/>
          <w:szCs w:val="22"/>
        </w:rPr>
        <w:tab/>
      </w:r>
      <w:r>
        <w:rPr>
          <w:rStyle w:val="43"/>
          <w:rFonts w:hint="eastAsia"/>
        </w:rPr>
        <w:t>特殊计算规则</w:t>
      </w:r>
      <w:r>
        <w:tab/>
      </w:r>
      <w:r>
        <w:fldChar w:fldCharType="begin"/>
      </w:r>
      <w:r>
        <w:instrText xml:space="preserve"> PAGEREF _Toc447184095 \h </w:instrText>
      </w:r>
      <w:r>
        <w:fldChar w:fldCharType="separate"/>
      </w:r>
      <w:r>
        <w:t>4</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"_Toc447184096" </w:instrText>
      </w:r>
      <w:r>
        <w:fldChar w:fldCharType="separate"/>
      </w:r>
      <w:r>
        <w:rPr>
          <w:rStyle w:val="43"/>
        </w:rPr>
        <w:t>2.4.6.</w:t>
      </w:r>
      <w:r>
        <w:rPr>
          <w:rFonts w:asciiTheme="minorHAnsi" w:hAnsiTheme="minorHAnsi" w:eastAsiaTheme="minorEastAsia" w:cstheme="minorBidi"/>
          <w:szCs w:val="22"/>
        </w:rPr>
        <w:tab/>
      </w:r>
      <w:r>
        <w:rPr>
          <w:rStyle w:val="43"/>
          <w:rFonts w:hint="eastAsia"/>
        </w:rPr>
        <w:t>打印凭证</w:t>
      </w:r>
      <w:r>
        <w:tab/>
      </w:r>
      <w:r>
        <w:fldChar w:fldCharType="begin"/>
      </w:r>
      <w:r>
        <w:instrText xml:space="preserve"> PAGEREF _Toc447184096 \h </w:instrText>
      </w:r>
      <w:r>
        <w:fldChar w:fldCharType="separate"/>
      </w:r>
      <w:r>
        <w:t>4</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"_Toc447184097" </w:instrText>
      </w:r>
      <w:r>
        <w:fldChar w:fldCharType="separate"/>
      </w:r>
      <w:r>
        <w:rPr>
          <w:rStyle w:val="43"/>
        </w:rPr>
        <w:t>2.4.7.</w:t>
      </w:r>
      <w:r>
        <w:rPr>
          <w:rFonts w:asciiTheme="minorHAnsi" w:hAnsiTheme="minorHAnsi" w:eastAsiaTheme="minorEastAsia" w:cstheme="minorBidi"/>
          <w:szCs w:val="22"/>
        </w:rPr>
        <w:tab/>
      </w:r>
      <w:r>
        <w:rPr>
          <w:rStyle w:val="43"/>
          <w:rFonts w:hint="eastAsia"/>
        </w:rPr>
        <w:t>会计核算和分录</w:t>
      </w:r>
      <w:r>
        <w:tab/>
      </w:r>
      <w:r>
        <w:fldChar w:fldCharType="begin"/>
      </w:r>
      <w:r>
        <w:instrText xml:space="preserve"> PAGEREF _Toc447184097 \h </w:instrText>
      </w:r>
      <w:r>
        <w:fldChar w:fldCharType="separate"/>
      </w:r>
      <w:r>
        <w:t>4</w:t>
      </w:r>
      <w:r>
        <w:fldChar w:fldCharType="end"/>
      </w:r>
      <w:r>
        <w:fldChar w:fldCharType="end"/>
      </w:r>
    </w:p>
    <w:p>
      <w:pPr>
        <w:pStyle w:val="28"/>
        <w:tabs>
          <w:tab w:val="left" w:pos="2100"/>
          <w:tab w:val="right" w:leader="dot" w:pos="9436"/>
        </w:tabs>
        <w:rPr>
          <w:rFonts w:asciiTheme="minorHAnsi" w:hAnsiTheme="minorHAnsi" w:eastAsiaTheme="minorEastAsia" w:cstheme="minorBidi"/>
          <w:szCs w:val="22"/>
        </w:rPr>
      </w:pPr>
      <w:r>
        <w:fldChar w:fldCharType="begin"/>
      </w:r>
      <w:r>
        <w:instrText xml:space="preserve"> HYPERLINK \l "_Toc447184098" </w:instrText>
      </w:r>
      <w:r>
        <w:fldChar w:fldCharType="separate"/>
      </w:r>
      <w:r>
        <w:rPr>
          <w:rStyle w:val="43"/>
        </w:rPr>
        <w:t>2.4.8.</w:t>
      </w:r>
      <w:r>
        <w:rPr>
          <w:rFonts w:asciiTheme="minorHAnsi" w:hAnsiTheme="minorHAnsi" w:eastAsiaTheme="minorEastAsia" w:cstheme="minorBidi"/>
          <w:szCs w:val="22"/>
        </w:rPr>
        <w:tab/>
      </w:r>
      <w:r>
        <w:rPr>
          <w:rStyle w:val="43"/>
          <w:rFonts w:hint="eastAsia"/>
        </w:rPr>
        <w:t>约束条件</w:t>
      </w:r>
      <w:r>
        <w:tab/>
      </w:r>
      <w:r>
        <w:fldChar w:fldCharType="begin"/>
      </w:r>
      <w:r>
        <w:instrText xml:space="preserve"> PAGEREF _Toc447184098 \h </w:instrText>
      </w:r>
      <w:r>
        <w:fldChar w:fldCharType="separate"/>
      </w:r>
      <w:r>
        <w:t>4</w:t>
      </w:r>
      <w:r>
        <w:fldChar w:fldCharType="end"/>
      </w:r>
      <w:r>
        <w:fldChar w:fldCharType="end"/>
      </w:r>
    </w:p>
    <w:p>
      <w:pPr>
        <w:pStyle w:val="51"/>
        <w:rPr>
          <w:rFonts w:ascii="宋体" w:hAnsi="宋体" w:eastAsia="宋体"/>
        </w:rPr>
      </w:pPr>
      <w:r>
        <w:rPr>
          <w:rFonts w:ascii="宋体" w:hAnsi="宋体" w:eastAsia="宋体"/>
        </w:rPr>
        <w:fldChar w:fldCharType="end"/>
      </w:r>
    </w:p>
    <w:p>
      <w:pPr>
        <w:pStyle w:val="3"/>
        <w:rPr>
          <w:rFonts w:ascii="宋体" w:hAnsi="宋体"/>
        </w:rPr>
        <w:sectPr>
          <w:pgSz w:w="11906" w:h="16838"/>
          <w:pgMar w:top="1440" w:right="1230" w:bottom="1440" w:left="1230" w:header="851" w:footer="992" w:gutter="0"/>
          <w:pgNumType w:fmt="upperRoman"/>
          <w:cols w:space="425" w:num="1"/>
          <w:docGrid w:type="linesAndChars" w:linePitch="312" w:charSpace="0"/>
        </w:sectPr>
      </w:pPr>
    </w:p>
    <w:p>
      <w:pPr>
        <w:rPr>
          <w:rFonts w:ascii="宋体" w:hAnsi="宋体"/>
        </w:rPr>
      </w:pPr>
      <w:bookmarkStart w:id="4" w:name="_Toc168729246"/>
      <w:bookmarkStart w:id="5" w:name="_Toc168729096"/>
    </w:p>
    <w:p>
      <w:pPr>
        <w:pStyle w:val="2"/>
        <w:spacing w:before="156" w:after="156"/>
        <w:rPr>
          <w:rFonts w:ascii="宋体" w:hAnsi="宋体"/>
        </w:rPr>
      </w:pPr>
      <w:bookmarkStart w:id="6" w:name="_Toc203798224"/>
      <w:bookmarkStart w:id="7" w:name="_Toc447184067"/>
      <w:bookmarkStart w:id="8" w:name="_Toc204685509"/>
      <w:bookmarkStart w:id="9" w:name="_Toc202688581"/>
      <w:bookmarkStart w:id="10" w:name="_Toc202783880"/>
      <w:r>
        <w:rPr>
          <w:rFonts w:hint="eastAsia" w:ascii="宋体" w:hAnsi="宋体"/>
        </w:rPr>
        <w:t>导言</w:t>
      </w:r>
      <w:bookmarkEnd w:id="6"/>
      <w:bookmarkEnd w:id="7"/>
      <w:bookmarkEnd w:id="8"/>
    </w:p>
    <w:p>
      <w:pPr>
        <w:pStyle w:val="4"/>
        <w:spacing w:before="156" w:after="156"/>
      </w:pPr>
      <w:bookmarkStart w:id="11" w:name="_Toc447184068"/>
      <w:bookmarkStart w:id="12" w:name="_Toc204685510"/>
      <w:bookmarkStart w:id="13" w:name="_Toc203798225"/>
      <w:r>
        <w:rPr>
          <w:rFonts w:hint="eastAsia"/>
        </w:rPr>
        <w:t>背景</w:t>
      </w:r>
      <w:bookmarkEnd w:id="11"/>
      <w:bookmarkEnd w:id="12"/>
      <w:bookmarkEnd w:id="13"/>
    </w:p>
    <w:p>
      <w:pPr>
        <w:spacing w:line="360" w:lineRule="auto"/>
        <w:ind w:firstLine="462" w:firstLineChars="220"/>
        <w:rPr>
          <w:color w:val="000000"/>
          <w:szCs w:val="21"/>
        </w:rPr>
      </w:pPr>
      <w:bookmarkStart w:id="14" w:name="_Toc203798226"/>
      <w:bookmarkStart w:id="15" w:name="_Toc204685511"/>
      <w:r>
        <w:rPr>
          <w:rFonts w:hint="eastAsia"/>
          <w:color w:val="000000"/>
          <w:szCs w:val="21"/>
        </w:rPr>
        <w:t>为丰富业务品种，优化产品结构，为客户提供优质高效的增值服务，实现浑源慧融村镇银行“稳得利”需求。</w:t>
      </w:r>
    </w:p>
    <w:p>
      <w:pPr>
        <w:pStyle w:val="4"/>
        <w:spacing w:before="156" w:after="156"/>
      </w:pPr>
      <w:r>
        <w:rPr>
          <w:rFonts w:hint="eastAsia"/>
        </w:rPr>
        <w:t>目的</w:t>
      </w:r>
    </w:p>
    <w:p>
      <w:pPr>
        <w:spacing w:line="360" w:lineRule="auto"/>
        <w:ind w:firstLine="420" w:firstLineChars="200"/>
        <w:rPr>
          <w:rFonts w:ascii="宋体"/>
          <w:color w:val="000000"/>
          <w:szCs w:val="21"/>
        </w:rPr>
      </w:pPr>
      <w:r>
        <w:rPr>
          <w:rFonts w:hint="eastAsia"/>
          <w:color w:val="000000"/>
          <w:szCs w:val="21"/>
        </w:rPr>
        <w:t>本说明书是浑源慧融村镇银行和神州数码公司针对增值产品“稳得利”提出的。为保证</w:t>
      </w:r>
      <w:r>
        <w:rPr>
          <w:rFonts w:hint="eastAsia" w:ascii="宋体"/>
          <w:color w:val="000000"/>
          <w:szCs w:val="21"/>
        </w:rPr>
        <w:t>软件开发保质、按时的完成，双方对需求进行认真收集、整理与分析，形成本功能规格说明书，作为柜面业务应用功能开发的基础。</w:t>
      </w:r>
    </w:p>
    <w:p>
      <w:pPr>
        <w:spacing w:line="360" w:lineRule="auto"/>
        <w:ind w:firstLine="425"/>
        <w:rPr>
          <w:rFonts w:ascii="宋体"/>
          <w:color w:val="000000"/>
          <w:szCs w:val="21"/>
        </w:rPr>
      </w:pPr>
      <w:r>
        <w:rPr>
          <w:rFonts w:hint="eastAsia" w:ascii="宋体"/>
          <w:color w:val="000000"/>
          <w:szCs w:val="21"/>
        </w:rPr>
        <w:t>本文档的预期读者有：</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浑源慧融村镇银行相关领导</w:t>
      </w:r>
    </w:p>
    <w:p>
      <w:pPr>
        <w:pStyle w:val="16"/>
        <w:widowControl/>
        <w:numPr>
          <w:ilvl w:val="0"/>
          <w:numId w:val="8"/>
        </w:numPr>
        <w:tabs>
          <w:tab w:val="left" w:pos="840"/>
          <w:tab w:val="clear" w:pos="420"/>
        </w:tabs>
        <w:spacing w:after="0" w:line="360" w:lineRule="auto"/>
        <w:ind w:leftChars="200" w:firstLine="420"/>
        <w:jc w:val="left"/>
        <w:rPr>
          <w:color w:val="000000"/>
          <w:szCs w:val="21"/>
        </w:rPr>
      </w:pPr>
      <w:r>
        <w:rPr>
          <w:rFonts w:hint="eastAsia"/>
          <w:color w:val="000000"/>
          <w:szCs w:val="21"/>
        </w:rPr>
        <w:t>浑源慧融村镇银行的相关业务人员</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浑源慧融村镇银行开发、测试和维护人员</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神州数码公司的开发、测试和维护人员</w:t>
      </w:r>
    </w:p>
    <w:p>
      <w:pPr>
        <w:spacing w:line="360" w:lineRule="auto"/>
        <w:ind w:firstLine="420" w:firstLineChars="200"/>
        <w:rPr>
          <w:color w:val="000000"/>
          <w:szCs w:val="21"/>
        </w:rPr>
      </w:pPr>
      <w:r>
        <w:rPr>
          <w:rFonts w:hint="eastAsia"/>
          <w:color w:val="000000"/>
          <w:szCs w:val="21"/>
        </w:rPr>
        <w:t>本文档的作用：</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为下一阶段的设计工作提供依据</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为浑源慧融村镇银行与神州数码建立共同协议奠定基础</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szCs w:val="21"/>
        </w:rPr>
        <w:t>提高开发效率、强化进度控制</w:t>
      </w:r>
    </w:p>
    <w:p>
      <w:pPr>
        <w:pStyle w:val="16"/>
        <w:widowControl/>
        <w:numPr>
          <w:ilvl w:val="0"/>
          <w:numId w:val="7"/>
        </w:numPr>
        <w:tabs>
          <w:tab w:val="left" w:pos="840"/>
          <w:tab w:val="clear" w:pos="420"/>
        </w:tabs>
        <w:spacing w:after="0" w:line="360" w:lineRule="auto"/>
        <w:ind w:leftChars="200" w:firstLine="420"/>
        <w:jc w:val="left"/>
        <w:rPr>
          <w:color w:val="000000"/>
          <w:szCs w:val="21"/>
        </w:rPr>
      </w:pPr>
      <w:r>
        <w:rPr>
          <w:rFonts w:hint="eastAsia"/>
          <w:color w:val="000000"/>
        </w:rPr>
        <w:t>为项目的评测与验收提供依据</w:t>
      </w:r>
    </w:p>
    <w:p>
      <w:pPr>
        <w:pStyle w:val="16"/>
        <w:widowControl/>
        <w:numPr>
          <w:ilvl w:val="0"/>
          <w:numId w:val="7"/>
        </w:numPr>
        <w:tabs>
          <w:tab w:val="left" w:pos="840"/>
          <w:tab w:val="clear" w:pos="420"/>
        </w:tabs>
        <w:spacing w:after="0" w:line="360" w:lineRule="auto"/>
        <w:ind w:leftChars="200" w:firstLine="420"/>
        <w:jc w:val="left"/>
        <w:rPr>
          <w:color w:val="000000"/>
        </w:rPr>
      </w:pPr>
      <w:r>
        <w:rPr>
          <w:rFonts w:hint="eastAsia"/>
          <w:color w:val="000000"/>
        </w:rPr>
        <w:t>作为系统不断提高的基础。</w:t>
      </w:r>
    </w:p>
    <w:p>
      <w:pPr>
        <w:pStyle w:val="4"/>
        <w:spacing w:before="156" w:after="156"/>
        <w:rPr>
          <w:rFonts w:ascii="宋体" w:hAnsi="宋体"/>
        </w:rPr>
      </w:pPr>
      <w:bookmarkStart w:id="16" w:name="_Toc447184069"/>
      <w:r>
        <w:rPr>
          <w:rFonts w:hint="eastAsia" w:ascii="宋体" w:hAnsi="宋体"/>
        </w:rPr>
        <w:t>范围</w:t>
      </w:r>
      <w:bookmarkEnd w:id="14"/>
      <w:bookmarkEnd w:id="15"/>
      <w:bookmarkEnd w:id="16"/>
    </w:p>
    <w:p>
      <w:pPr>
        <w:numPr>
          <w:ilvl w:val="0"/>
          <w:numId w:val="9"/>
        </w:numPr>
        <w:tabs>
          <w:tab w:val="left" w:pos="840"/>
          <w:tab w:val="clear" w:pos="420"/>
        </w:tabs>
        <w:spacing w:line="360" w:lineRule="auto"/>
        <w:ind w:left="420" w:leftChars="200"/>
        <w:rPr>
          <w:rFonts w:ascii="宋体" w:hAnsi="宋体"/>
          <w:color w:val="000000"/>
        </w:rPr>
      </w:pPr>
      <w:bookmarkStart w:id="17" w:name="_Toc203798227"/>
      <w:bookmarkStart w:id="18" w:name="_Toc447184070"/>
      <w:bookmarkStart w:id="19" w:name="_Toc204685512"/>
      <w:r>
        <w:rPr>
          <w:rFonts w:hint="eastAsia" w:ascii="宋体" w:hAnsi="宋体"/>
          <w:color w:val="000000"/>
        </w:rPr>
        <w:t>SM@rtSymbols开发人员</w:t>
      </w:r>
    </w:p>
    <w:p>
      <w:pPr>
        <w:numPr>
          <w:ilvl w:val="0"/>
          <w:numId w:val="9"/>
        </w:numPr>
        <w:tabs>
          <w:tab w:val="left" w:pos="840"/>
          <w:tab w:val="clear" w:pos="420"/>
        </w:tabs>
        <w:spacing w:line="360" w:lineRule="auto"/>
        <w:ind w:left="420" w:leftChars="200"/>
        <w:rPr>
          <w:rFonts w:ascii="宋体" w:hAnsi="宋体"/>
          <w:color w:val="000000"/>
        </w:rPr>
      </w:pPr>
      <w:r>
        <w:rPr>
          <w:rFonts w:hint="eastAsia" w:ascii="宋体" w:hAnsi="宋体"/>
          <w:color w:val="000000"/>
        </w:rPr>
        <w:t>SM@rtSymbols测试人员</w:t>
      </w:r>
    </w:p>
    <w:p>
      <w:pPr>
        <w:numPr>
          <w:ilvl w:val="0"/>
          <w:numId w:val="9"/>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SM@rtTeller开发人员</w:t>
      </w:r>
    </w:p>
    <w:p>
      <w:pPr>
        <w:numPr>
          <w:ilvl w:val="0"/>
          <w:numId w:val="9"/>
        </w:numPr>
        <w:tabs>
          <w:tab w:val="left" w:pos="840"/>
          <w:tab w:val="clear" w:pos="420"/>
        </w:tabs>
        <w:spacing w:line="360" w:lineRule="auto"/>
        <w:ind w:left="420" w:leftChars="200"/>
        <w:rPr>
          <w:rFonts w:ascii="宋体" w:hAnsi="宋体"/>
          <w:color w:val="000000"/>
        </w:rPr>
      </w:pPr>
      <w:r>
        <w:rPr>
          <w:rFonts w:hint="eastAsia" w:ascii="宋体" w:hAnsi="宋体"/>
          <w:color w:val="000000"/>
        </w:rPr>
        <w:t>SM@rtTeller测试人员</w:t>
      </w:r>
    </w:p>
    <w:p>
      <w:pPr>
        <w:numPr>
          <w:ilvl w:val="0"/>
          <w:numId w:val="9"/>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SM@rtCard开发人员</w:t>
      </w:r>
    </w:p>
    <w:p>
      <w:pPr>
        <w:numPr>
          <w:ilvl w:val="0"/>
          <w:numId w:val="9"/>
        </w:numPr>
        <w:tabs>
          <w:tab w:val="left" w:pos="840"/>
          <w:tab w:val="clear" w:pos="420"/>
        </w:tabs>
        <w:spacing w:line="360" w:lineRule="auto"/>
        <w:ind w:left="420" w:leftChars="200"/>
        <w:rPr>
          <w:rFonts w:ascii="宋体" w:hAnsi="宋体"/>
          <w:color w:val="000000"/>
        </w:rPr>
      </w:pPr>
      <w:r>
        <w:rPr>
          <w:rFonts w:hint="eastAsia" w:ascii="宋体" w:hAnsi="宋体"/>
          <w:color w:val="000000"/>
        </w:rPr>
        <w:t>SM@rtCard测试人员</w:t>
      </w:r>
    </w:p>
    <w:p>
      <w:pPr>
        <w:numPr>
          <w:ilvl w:val="0"/>
          <w:numId w:val="10"/>
        </w:numPr>
        <w:tabs>
          <w:tab w:val="left" w:pos="840"/>
          <w:tab w:val="clear" w:pos="420"/>
        </w:tabs>
        <w:spacing w:line="360" w:lineRule="auto"/>
        <w:ind w:left="420" w:leftChars="200"/>
        <w:rPr>
          <w:rFonts w:ascii="宋体" w:hAnsi="宋体"/>
          <w:color w:val="000000"/>
        </w:rPr>
      </w:pPr>
      <w:r>
        <w:rPr>
          <w:rFonts w:hint="eastAsia"/>
          <w:color w:val="000000"/>
        </w:rPr>
        <w:t>解决方案部售前人员</w:t>
      </w:r>
    </w:p>
    <w:p>
      <w:pPr>
        <w:pStyle w:val="4"/>
        <w:spacing w:before="156" w:after="156"/>
        <w:rPr>
          <w:rFonts w:ascii="宋体" w:hAnsi="宋体"/>
        </w:rPr>
      </w:pPr>
      <w:r>
        <w:rPr>
          <w:rFonts w:hint="eastAsia" w:ascii="宋体" w:hAnsi="宋体"/>
        </w:rPr>
        <w:t>术语定义</w:t>
      </w:r>
      <w:bookmarkEnd w:id="17"/>
      <w:bookmarkEnd w:id="18"/>
      <w:bookmarkEnd w:id="19"/>
    </w:p>
    <w:p>
      <w:pPr>
        <w:pStyle w:val="61"/>
        <w:numPr>
          <w:ilvl w:val="0"/>
          <w:numId w:val="11"/>
        </w:numPr>
        <w:adjustRightInd w:val="0"/>
        <w:spacing w:line="300" w:lineRule="auto"/>
        <w:ind w:firstLineChars="0"/>
        <w:textAlignment w:val="baseline"/>
        <w:rPr>
          <w:rFonts w:ascii="Calibri" w:hAnsi="Calibri"/>
          <w:color w:val="000000"/>
          <w:kern w:val="0"/>
          <w:szCs w:val="21"/>
          <w:lang w:eastAsia="en-US" w:bidi="en-US"/>
        </w:rPr>
      </w:pPr>
      <w:r>
        <w:rPr>
          <w:rFonts w:hint="eastAsia" w:ascii="Calibri" w:hAnsi="Calibri"/>
          <w:color w:val="000000"/>
          <w:kern w:val="0"/>
          <w:szCs w:val="21"/>
          <w:lang w:eastAsia="en-US" w:bidi="en-US"/>
        </w:rPr>
        <w:t>SM@</w:t>
      </w:r>
      <w:r>
        <w:rPr>
          <w:rFonts w:hint="eastAsia" w:ascii="Calibri" w:hAnsi="Calibri"/>
          <w:color w:val="000000"/>
          <w:kern w:val="0"/>
          <w:szCs w:val="21"/>
          <w:lang w:bidi="en-US"/>
        </w:rPr>
        <w:t>rtTeller</w:t>
      </w:r>
      <w:r>
        <w:rPr>
          <w:rFonts w:hint="eastAsia" w:ascii="Calibri" w:hAnsi="Calibri"/>
          <w:color w:val="000000"/>
          <w:kern w:val="0"/>
          <w:szCs w:val="21"/>
          <w:lang w:eastAsia="en-US" w:bidi="en-US"/>
        </w:rPr>
        <w:t>：神州数码融信软件公司</w:t>
      </w:r>
      <w:r>
        <w:rPr>
          <w:rFonts w:hint="eastAsia" w:ascii="Calibri" w:hAnsi="Calibri"/>
          <w:color w:val="000000"/>
          <w:kern w:val="0"/>
          <w:szCs w:val="21"/>
          <w:lang w:bidi="en-US"/>
        </w:rPr>
        <w:t>柜面</w:t>
      </w:r>
      <w:r>
        <w:rPr>
          <w:rFonts w:hint="eastAsia" w:ascii="Calibri" w:hAnsi="Calibri"/>
          <w:color w:val="000000"/>
          <w:kern w:val="0"/>
          <w:szCs w:val="21"/>
          <w:lang w:eastAsia="en-US" w:bidi="en-US"/>
        </w:rPr>
        <w:t>系统，简称为</w:t>
      </w:r>
      <w:r>
        <w:rPr>
          <w:rFonts w:hint="eastAsia" w:ascii="Calibri" w:hAnsi="Calibri"/>
          <w:color w:val="000000"/>
          <w:kern w:val="0"/>
          <w:szCs w:val="21"/>
          <w:lang w:bidi="en-US"/>
        </w:rPr>
        <w:t>Teller。</w:t>
      </w:r>
    </w:p>
    <w:p>
      <w:pPr>
        <w:pStyle w:val="61"/>
        <w:numPr>
          <w:ilvl w:val="0"/>
          <w:numId w:val="11"/>
        </w:numPr>
        <w:adjustRightInd w:val="0"/>
        <w:spacing w:line="300" w:lineRule="auto"/>
        <w:ind w:firstLineChars="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SM@rtSymbols：神州数码融信软件公司核心业务系统，简称为Symbols。</w:t>
      </w:r>
    </w:p>
    <w:p>
      <w:pPr>
        <w:pStyle w:val="61"/>
        <w:numPr>
          <w:ilvl w:val="0"/>
          <w:numId w:val="11"/>
        </w:numPr>
        <w:adjustRightInd w:val="0"/>
        <w:spacing w:line="300" w:lineRule="auto"/>
        <w:ind w:firstLineChars="0"/>
        <w:textAlignment w:val="baseline"/>
        <w:rPr>
          <w:rFonts w:ascii="Calibri" w:hAnsi="Calibri"/>
          <w:color w:val="000000"/>
          <w:kern w:val="0"/>
          <w:szCs w:val="21"/>
          <w:lang w:eastAsia="en-US" w:bidi="en-US"/>
        </w:rPr>
      </w:pPr>
      <w:r>
        <w:rPr>
          <w:rFonts w:hint="eastAsia" w:ascii="Calibri" w:hAnsi="Calibri"/>
          <w:color w:val="000000"/>
          <w:kern w:val="0"/>
          <w:szCs w:val="21"/>
          <w:lang w:bidi="en-US"/>
        </w:rPr>
        <w:t>SM@rtCard：神州数码融信软件公司卡系统，简称为Card。</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hint="eastAsia" w:ascii="Calibri" w:hAnsi="Calibri"/>
          <w:color w:val="000000"/>
          <w:kern w:val="0"/>
          <w:szCs w:val="21"/>
          <w:lang w:bidi="en-US"/>
        </w:rPr>
        <w:t>联机：是指系统中需要实时完成的部分。</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hint="eastAsia" w:ascii="Calibri" w:hAnsi="Calibri"/>
          <w:color w:val="000000"/>
          <w:kern w:val="0"/>
          <w:szCs w:val="21"/>
          <w:lang w:bidi="en-US"/>
        </w:rPr>
        <w:t>服务：是指服务提供者对外暴露的功能接口，在ModelBank中，所有服务都必须遵循MBSD规范。</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hint="eastAsia" w:ascii="Calibri" w:hAnsi="Calibri"/>
          <w:color w:val="000000"/>
          <w:kern w:val="0"/>
          <w:szCs w:val="21"/>
          <w:lang w:bidi="en-US"/>
        </w:rPr>
        <w:t>MBSD：ModelBank服务接口数据规范，定义了银行对外提供服务的数据规范；</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hint="eastAsia"/>
          <w:color w:val="000000"/>
          <w:kern w:val="0"/>
          <w:lang w:bidi="en-US"/>
        </w:rPr>
        <w:t>CBSD：MBSD子规范之一，定义了银行核心业务（如存取款业务）的服务接口的数据规范；</w:t>
      </w:r>
      <w:r>
        <w:rPr>
          <w:rFonts w:hint="eastAsia"/>
          <w:color w:val="000000"/>
        </w:rPr>
        <w:t xml:space="preserve"> </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ascii="Calibri" w:hAnsi="Calibri"/>
          <w:color w:val="000000"/>
          <w:kern w:val="0"/>
          <w:szCs w:val="21"/>
          <w:lang w:bidi="en-US"/>
        </w:rPr>
        <w:t>FS: Function specification</w:t>
      </w:r>
      <w:r>
        <w:rPr>
          <w:rFonts w:hint="eastAsia" w:ascii="Calibri" w:hAnsi="Calibri"/>
          <w:color w:val="000000"/>
          <w:kern w:val="0"/>
          <w:szCs w:val="21"/>
          <w:lang w:bidi="en-US"/>
        </w:rPr>
        <w:t>的简写，指系统功能说明书</w:t>
      </w:r>
    </w:p>
    <w:p>
      <w:pPr>
        <w:pStyle w:val="61"/>
        <w:numPr>
          <w:ilvl w:val="0"/>
          <w:numId w:val="11"/>
        </w:numPr>
        <w:adjustRightInd w:val="0"/>
        <w:spacing w:line="300" w:lineRule="auto"/>
        <w:ind w:firstLineChars="0"/>
        <w:textAlignment w:val="baseline"/>
        <w:rPr>
          <w:rFonts w:ascii="Calibri" w:hAnsi="Calibri"/>
          <w:color w:val="000000"/>
          <w:kern w:val="0"/>
          <w:szCs w:val="21"/>
          <w:lang w:bidi="en-US"/>
        </w:rPr>
      </w:pPr>
      <w:r>
        <w:rPr>
          <w:rFonts w:hint="eastAsia" w:ascii="Calibri" w:hAnsi="Calibri"/>
          <w:color w:val="000000"/>
          <w:kern w:val="0"/>
          <w:szCs w:val="21"/>
          <w:lang w:bidi="en-US"/>
        </w:rPr>
        <w:t>EOD：日终</w:t>
      </w:r>
    </w:p>
    <w:p>
      <w:pPr>
        <w:pStyle w:val="4"/>
        <w:spacing w:before="156" w:after="156"/>
        <w:rPr>
          <w:rFonts w:ascii="宋体" w:hAnsi="宋体"/>
        </w:rPr>
      </w:pPr>
      <w:r>
        <w:rPr>
          <w:rFonts w:hint="eastAsia" w:ascii="宋体" w:hAnsi="宋体"/>
        </w:rPr>
        <w:t>文档约束</w:t>
      </w:r>
    </w:p>
    <w:p>
      <w:pPr>
        <w:pStyle w:val="3"/>
        <w:spacing w:line="360" w:lineRule="auto"/>
        <w:rPr>
          <w:color w:val="000000"/>
          <w:szCs w:val="21"/>
        </w:rPr>
      </w:pPr>
      <w:r>
        <w:rPr>
          <w:rFonts w:hint="eastAsia"/>
          <w:color w:val="000000"/>
          <w:szCs w:val="21"/>
        </w:rPr>
        <w:t>本文所涉及的需要该村镇商行版Teller开发统一考虑的事项说明如下：</w:t>
      </w:r>
    </w:p>
    <w:p>
      <w:pPr>
        <w:pStyle w:val="3"/>
        <w:numPr>
          <w:ilvl w:val="0"/>
          <w:numId w:val="12"/>
        </w:numPr>
        <w:spacing w:line="360" w:lineRule="auto"/>
        <w:ind w:firstLineChars="0"/>
        <w:rPr>
          <w:color w:val="000000"/>
          <w:szCs w:val="21"/>
        </w:rPr>
      </w:pPr>
      <w:r>
        <w:rPr>
          <w:rFonts w:hint="eastAsia"/>
          <w:color w:val="000000"/>
          <w:szCs w:val="21"/>
        </w:rPr>
        <w:t>页面必输项：在每一个交易的操作类型中对每一个数据项都有必输或非必输等属性的描述，在页面设计过程中需要在必输项后做“*”标注；</w:t>
      </w:r>
    </w:p>
    <w:p>
      <w:pPr>
        <w:pStyle w:val="3"/>
        <w:numPr>
          <w:ilvl w:val="0"/>
          <w:numId w:val="12"/>
        </w:numPr>
        <w:spacing w:line="360" w:lineRule="auto"/>
        <w:ind w:firstLineChars="0"/>
        <w:rPr>
          <w:color w:val="000000"/>
          <w:szCs w:val="21"/>
        </w:rPr>
      </w:pPr>
      <w:r>
        <w:rPr>
          <w:rFonts w:hint="eastAsia"/>
          <w:color w:val="000000"/>
          <w:szCs w:val="21"/>
        </w:rPr>
        <w:t>文档中出现的界面示意图用以下符号表示数据域的类型</w:t>
      </w:r>
    </w:p>
    <w:p>
      <w:pPr>
        <w:pStyle w:val="3"/>
        <w:numPr>
          <w:ilvl w:val="0"/>
          <w:numId w:val="13"/>
        </w:numPr>
        <w:spacing w:line="360" w:lineRule="auto"/>
        <w:ind w:firstLine="420"/>
        <w:rPr>
          <w:color w:val="000000"/>
          <w:szCs w:val="21"/>
        </w:rPr>
      </w:pPr>
      <w:r>
        <w:rPr>
          <w:color w:val="000000"/>
          <w:szCs w:val="21"/>
        </w:rPr>
        <w:t>C</w:t>
      </w:r>
      <w:r>
        <w:rPr>
          <w:rFonts w:hint="eastAsia"/>
          <w:color w:val="000000"/>
          <w:szCs w:val="21"/>
        </w:rPr>
        <w:t>：文本输入；</w:t>
      </w:r>
    </w:p>
    <w:p>
      <w:pPr>
        <w:pStyle w:val="3"/>
        <w:numPr>
          <w:ilvl w:val="0"/>
          <w:numId w:val="13"/>
        </w:numPr>
        <w:spacing w:line="360" w:lineRule="auto"/>
        <w:ind w:firstLine="420"/>
        <w:rPr>
          <w:color w:val="000000"/>
          <w:szCs w:val="21"/>
        </w:rPr>
      </w:pPr>
      <w:r>
        <w:rPr>
          <w:color w:val="000000"/>
          <w:szCs w:val="21"/>
        </w:rPr>
        <w:t>N</w:t>
      </w:r>
      <w:r>
        <w:rPr>
          <w:rFonts w:hint="eastAsia"/>
          <w:color w:val="000000"/>
          <w:szCs w:val="21"/>
        </w:rPr>
        <w:t>：数字输入；</w:t>
      </w:r>
    </w:p>
    <w:p>
      <w:pPr>
        <w:pStyle w:val="3"/>
        <w:numPr>
          <w:ilvl w:val="0"/>
          <w:numId w:val="13"/>
        </w:numPr>
        <w:spacing w:line="360" w:lineRule="auto"/>
        <w:ind w:firstLine="420"/>
        <w:rPr>
          <w:color w:val="000000"/>
          <w:szCs w:val="21"/>
        </w:rPr>
      </w:pPr>
      <w:r>
        <w:rPr>
          <w:color w:val="000000"/>
          <w:szCs w:val="21"/>
        </w:rPr>
        <w:t>L</w:t>
      </w:r>
      <w:r>
        <w:rPr>
          <w:rFonts w:hint="eastAsia"/>
          <w:color w:val="000000"/>
          <w:szCs w:val="21"/>
        </w:rPr>
        <w:t>：列表选择；</w:t>
      </w:r>
    </w:p>
    <w:p>
      <w:pPr>
        <w:pStyle w:val="3"/>
        <w:numPr>
          <w:ilvl w:val="0"/>
          <w:numId w:val="13"/>
        </w:numPr>
        <w:spacing w:line="360" w:lineRule="auto"/>
        <w:ind w:firstLine="420"/>
        <w:rPr>
          <w:color w:val="000000"/>
          <w:szCs w:val="21"/>
        </w:rPr>
      </w:pPr>
      <w:r>
        <w:rPr>
          <w:rFonts w:hint="eastAsia"/>
          <w:color w:val="000000"/>
          <w:szCs w:val="21"/>
        </w:rPr>
        <w:t>□：复选框；</w:t>
      </w:r>
    </w:p>
    <w:p>
      <w:pPr>
        <w:pStyle w:val="3"/>
        <w:numPr>
          <w:ilvl w:val="0"/>
          <w:numId w:val="13"/>
        </w:numPr>
        <w:spacing w:line="360" w:lineRule="auto"/>
        <w:ind w:firstLine="420"/>
        <w:rPr>
          <w:color w:val="000000"/>
          <w:szCs w:val="21"/>
        </w:rPr>
      </w:pPr>
      <w:r>
        <w:rPr>
          <w:rFonts w:hint="eastAsia"/>
          <w:color w:val="000000"/>
          <w:szCs w:val="21"/>
        </w:rPr>
        <w:t>D：显示项</w:t>
      </w:r>
    </w:p>
    <w:p>
      <w:pPr>
        <w:pStyle w:val="3"/>
        <w:numPr>
          <w:ilvl w:val="0"/>
          <w:numId w:val="12"/>
        </w:numPr>
        <w:spacing w:line="360" w:lineRule="auto"/>
        <w:ind w:firstLineChars="0"/>
        <w:rPr>
          <w:color w:val="000000"/>
          <w:szCs w:val="21"/>
        </w:rPr>
      </w:pPr>
      <w:r>
        <w:rPr>
          <w:rFonts w:hint="eastAsia"/>
          <w:color w:val="000000"/>
          <w:szCs w:val="21"/>
        </w:rPr>
        <w:t xml:space="preserve"> Y（金额类型：发生额、余额、借贷差额）。金额在数据库的类型是N</w:t>
      </w:r>
    </w:p>
    <w:p>
      <w:pPr>
        <w:pStyle w:val="3"/>
        <w:numPr>
          <w:ilvl w:val="0"/>
          <w:numId w:val="12"/>
        </w:numPr>
        <w:spacing w:line="360" w:lineRule="auto"/>
        <w:ind w:firstLineChars="0"/>
        <w:rPr>
          <w:color w:val="000000"/>
          <w:szCs w:val="21"/>
        </w:rPr>
      </w:pPr>
      <w:r>
        <w:rPr>
          <w:rFonts w:hint="eastAsia"/>
          <w:color w:val="000000"/>
          <w:szCs w:val="21"/>
        </w:rPr>
        <w:t>页面设计。该文档所画页面着重交易要素信息及界面布局，数据项长度在设计过程中可根据情况进行合理的调整，如果布局调整需要通知需求人员。</w:t>
      </w:r>
    </w:p>
    <w:p>
      <w:pPr>
        <w:pStyle w:val="3"/>
        <w:numPr>
          <w:ilvl w:val="0"/>
          <w:numId w:val="12"/>
        </w:numPr>
        <w:spacing w:line="360" w:lineRule="auto"/>
        <w:ind w:firstLineChars="0"/>
        <w:rPr>
          <w:color w:val="000000"/>
          <w:szCs w:val="21"/>
        </w:rPr>
      </w:pPr>
      <w:r>
        <w:rPr>
          <w:rFonts w:hint="eastAsia"/>
          <w:color w:val="000000"/>
          <w:szCs w:val="21"/>
        </w:rPr>
        <w:t>文档中界面为示意图，与最终界面如有不符，则以数据项对照表及文字为准。</w:t>
      </w:r>
    </w:p>
    <w:p>
      <w:pPr>
        <w:pStyle w:val="3"/>
        <w:numPr>
          <w:ilvl w:val="0"/>
          <w:numId w:val="12"/>
        </w:numPr>
        <w:spacing w:line="360" w:lineRule="auto"/>
        <w:ind w:firstLineChars="0"/>
        <w:rPr>
          <w:color w:val="000000"/>
          <w:szCs w:val="21"/>
        </w:rPr>
      </w:pPr>
      <w:r>
        <w:rPr>
          <w:rFonts w:hint="eastAsia"/>
          <w:color w:val="000000"/>
          <w:szCs w:val="21"/>
        </w:rPr>
        <w:t>本文档未明确标注差异的部分以产品最新版本为准。</w:t>
      </w:r>
    </w:p>
    <w:p>
      <w:pPr>
        <w:pStyle w:val="3"/>
        <w:numPr>
          <w:ilvl w:val="0"/>
          <w:numId w:val="12"/>
        </w:numPr>
        <w:spacing w:line="360" w:lineRule="auto"/>
        <w:ind w:firstLineChars="0"/>
        <w:rPr>
          <w:color w:val="000000"/>
          <w:szCs w:val="21"/>
        </w:rPr>
      </w:pPr>
      <w:r>
        <w:rPr>
          <w:rFonts w:hint="eastAsia"/>
          <w:color w:val="000000"/>
          <w:szCs w:val="21"/>
        </w:rPr>
        <w:t>存在差异的交易或功能，如果是界面有差异，直接在界面中修改，以本文档为准；并加以红字描述差异内容（新增修改），蓝字表示要删除的内容。</w:t>
      </w:r>
    </w:p>
    <w:p>
      <w:pPr>
        <w:pStyle w:val="3"/>
        <w:numPr>
          <w:ilvl w:val="0"/>
          <w:numId w:val="12"/>
        </w:numPr>
        <w:spacing w:line="360" w:lineRule="auto"/>
        <w:ind w:firstLineChars="0"/>
        <w:rPr>
          <w:color w:val="000000"/>
          <w:szCs w:val="21"/>
        </w:rPr>
      </w:pPr>
      <w:r>
        <w:rPr>
          <w:rFonts w:hint="eastAsia"/>
          <w:color w:val="000000"/>
          <w:szCs w:val="21"/>
        </w:rPr>
        <w:t>本文中的功能界面主要用于向业务人员提供参考，不作为确认内容，功能界面之确认工作将会在界面设计阶段进行。</w:t>
      </w:r>
    </w:p>
    <w:p>
      <w:pPr>
        <w:pStyle w:val="4"/>
        <w:spacing w:before="156" w:after="156"/>
        <w:rPr>
          <w:rFonts w:ascii="宋体" w:hAnsi="宋体"/>
        </w:rPr>
      </w:pPr>
      <w:bookmarkStart w:id="20" w:name="_Toc447184071"/>
      <w:bookmarkStart w:id="21" w:name="_Toc204685513"/>
      <w:bookmarkStart w:id="22" w:name="_Toc203798228"/>
      <w:r>
        <w:rPr>
          <w:rFonts w:hint="eastAsia" w:ascii="宋体" w:hAnsi="宋体"/>
        </w:rPr>
        <w:t>参考资料</w:t>
      </w:r>
      <w:bookmarkEnd w:id="20"/>
      <w:bookmarkEnd w:id="21"/>
      <w:bookmarkEnd w:id="22"/>
    </w:p>
    <w:tbl>
      <w:tblPr>
        <w:tblStyle w:val="45"/>
        <w:tblW w:w="9123" w:type="dxa"/>
        <w:jc w:val="center"/>
        <w:tblInd w:w="-901"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5368"/>
        <w:gridCol w:w="1061"/>
        <w:gridCol w:w="1065"/>
        <w:gridCol w:w="1629"/>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PrEx>
        <w:trPr>
          <w:jc w:val="center"/>
        </w:trPr>
        <w:tc>
          <w:tcPr>
            <w:tcW w:w="5368" w:type="dxa"/>
            <w:tcBorders>
              <w:top w:val="single" w:color="000000" w:sz="8" w:space="0"/>
              <w:left w:val="single" w:color="000000" w:sz="8" w:space="0"/>
              <w:bottom w:val="single" w:color="000000" w:sz="6" w:space="0"/>
            </w:tcBorders>
            <w:shd w:val="clear" w:color="auto" w:fill="CCCCCC"/>
          </w:tcPr>
          <w:p>
            <w:pPr>
              <w:pStyle w:val="53"/>
              <w:rPr>
                <w:rFonts w:ascii="宋体" w:hAnsi="宋体"/>
                <w:szCs w:val="21"/>
              </w:rPr>
            </w:pPr>
            <w:r>
              <w:rPr>
                <w:rFonts w:hint="eastAsia" w:ascii="宋体" w:hAnsi="宋体"/>
                <w:szCs w:val="21"/>
              </w:rPr>
              <w:t>文档名称</w:t>
            </w:r>
          </w:p>
        </w:tc>
        <w:tc>
          <w:tcPr>
            <w:tcW w:w="1061" w:type="dxa"/>
            <w:tcBorders>
              <w:top w:val="single" w:color="000000" w:sz="8" w:space="0"/>
              <w:bottom w:val="single" w:color="000000" w:sz="6" w:space="0"/>
              <w:right w:val="single" w:color="auto" w:sz="4" w:space="0"/>
            </w:tcBorders>
            <w:shd w:val="clear" w:color="auto" w:fill="CCCCCC"/>
          </w:tcPr>
          <w:p>
            <w:pPr>
              <w:pStyle w:val="53"/>
              <w:rPr>
                <w:rFonts w:ascii="宋体" w:hAnsi="宋体"/>
                <w:szCs w:val="21"/>
              </w:rPr>
            </w:pPr>
            <w:r>
              <w:rPr>
                <w:rFonts w:hint="eastAsia" w:ascii="宋体" w:hAnsi="宋体"/>
                <w:szCs w:val="21"/>
              </w:rPr>
              <w:t>作者</w:t>
            </w:r>
          </w:p>
        </w:tc>
        <w:tc>
          <w:tcPr>
            <w:tcW w:w="1065" w:type="dxa"/>
            <w:tcBorders>
              <w:top w:val="single" w:color="000000" w:sz="8" w:space="0"/>
              <w:bottom w:val="single" w:color="000000" w:sz="6" w:space="0"/>
              <w:right w:val="single" w:color="auto" w:sz="4" w:space="0"/>
            </w:tcBorders>
            <w:shd w:val="clear" w:color="auto" w:fill="CCCCCC"/>
          </w:tcPr>
          <w:p>
            <w:pPr>
              <w:pStyle w:val="53"/>
              <w:rPr>
                <w:rFonts w:ascii="宋体" w:hAnsi="宋体"/>
                <w:szCs w:val="21"/>
              </w:rPr>
            </w:pPr>
            <w:r>
              <w:rPr>
                <w:rFonts w:hint="eastAsia" w:ascii="宋体" w:hAnsi="宋体"/>
                <w:szCs w:val="21"/>
              </w:rPr>
              <w:t>版本号</w:t>
            </w:r>
          </w:p>
        </w:tc>
        <w:tc>
          <w:tcPr>
            <w:tcW w:w="1629" w:type="dxa"/>
            <w:tcBorders>
              <w:top w:val="single" w:color="000000" w:sz="8" w:space="0"/>
              <w:left w:val="single" w:color="auto" w:sz="4" w:space="0"/>
              <w:bottom w:val="single" w:color="000000" w:sz="6" w:space="0"/>
              <w:right w:val="single" w:color="000000" w:sz="8" w:space="0"/>
            </w:tcBorders>
            <w:shd w:val="clear" w:color="auto" w:fill="CCCCCC"/>
          </w:tcPr>
          <w:p>
            <w:pPr>
              <w:pStyle w:val="53"/>
              <w:rPr>
                <w:rFonts w:ascii="宋体" w:hAnsi="宋体"/>
                <w:szCs w:val="21"/>
              </w:rPr>
            </w:pPr>
            <w:r>
              <w:rPr>
                <w:rFonts w:hint="eastAsia" w:ascii="宋体" w:hAnsi="宋体"/>
                <w:szCs w:val="21"/>
              </w:rPr>
              <w:t>发布日期</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Ex>
        <w:trPr>
          <w:trHeight w:val="184" w:hRule="atLeast"/>
          <w:jc w:val="center"/>
        </w:trPr>
        <w:tc>
          <w:tcPr>
            <w:tcW w:w="5368" w:type="dxa"/>
            <w:tcBorders>
              <w:top w:val="single" w:color="000000" w:sz="6" w:space="0"/>
              <w:left w:val="single" w:color="000000" w:sz="8" w:space="0"/>
              <w:bottom w:val="single" w:color="000000" w:sz="6" w:space="0"/>
            </w:tcBorders>
            <w:vAlign w:val="center"/>
          </w:tcPr>
          <w:p>
            <w:pPr>
              <w:autoSpaceDE w:val="0"/>
              <w:autoSpaceDN w:val="0"/>
              <w:adjustRightInd w:val="0"/>
              <w:spacing w:line="191" w:lineRule="atLeast"/>
              <w:ind w:left="71" w:leftChars="34"/>
              <w:rPr>
                <w:rFonts w:ascii="宋体" w:hAnsi="宋体"/>
                <w:kern w:val="0"/>
                <w:sz w:val="20"/>
                <w:szCs w:val="16"/>
              </w:rPr>
            </w:pPr>
          </w:p>
        </w:tc>
        <w:tc>
          <w:tcPr>
            <w:tcW w:w="1061" w:type="dxa"/>
            <w:tcBorders>
              <w:top w:val="single" w:color="000000" w:sz="6" w:space="0"/>
              <w:bottom w:val="single" w:color="000000" w:sz="6" w:space="0"/>
              <w:right w:val="single" w:color="auto" w:sz="4" w:space="0"/>
            </w:tcBorders>
            <w:vAlign w:val="center"/>
          </w:tcPr>
          <w:p>
            <w:pPr>
              <w:autoSpaceDE w:val="0"/>
              <w:autoSpaceDN w:val="0"/>
              <w:adjustRightInd w:val="0"/>
              <w:spacing w:line="191" w:lineRule="atLeast"/>
              <w:ind w:left="71" w:leftChars="34"/>
              <w:jc w:val="center"/>
              <w:rPr>
                <w:rFonts w:ascii="宋体" w:hAnsi="宋体"/>
                <w:kern w:val="0"/>
                <w:sz w:val="20"/>
                <w:szCs w:val="16"/>
              </w:rPr>
            </w:pPr>
          </w:p>
        </w:tc>
        <w:tc>
          <w:tcPr>
            <w:tcW w:w="1065" w:type="dxa"/>
            <w:tcBorders>
              <w:top w:val="single" w:color="000000" w:sz="6" w:space="0"/>
              <w:bottom w:val="single" w:color="000000" w:sz="6" w:space="0"/>
              <w:right w:val="single" w:color="auto" w:sz="4" w:space="0"/>
            </w:tcBorders>
            <w:vAlign w:val="center"/>
          </w:tcPr>
          <w:p>
            <w:pPr>
              <w:autoSpaceDE w:val="0"/>
              <w:autoSpaceDN w:val="0"/>
              <w:adjustRightInd w:val="0"/>
              <w:spacing w:line="191" w:lineRule="atLeast"/>
              <w:ind w:left="71" w:leftChars="34"/>
              <w:jc w:val="center"/>
              <w:rPr>
                <w:rFonts w:ascii="宋体" w:hAnsi="宋体"/>
                <w:kern w:val="0"/>
                <w:sz w:val="20"/>
                <w:szCs w:val="16"/>
              </w:rPr>
            </w:pPr>
          </w:p>
        </w:tc>
        <w:tc>
          <w:tcPr>
            <w:tcW w:w="1629" w:type="dxa"/>
            <w:tcBorders>
              <w:top w:val="single" w:color="000000" w:sz="6" w:space="0"/>
              <w:left w:val="single" w:color="auto" w:sz="4" w:space="0"/>
              <w:bottom w:val="single" w:color="000000" w:sz="6" w:space="0"/>
              <w:right w:val="single" w:color="000000" w:sz="8" w:space="0"/>
            </w:tcBorders>
            <w:vAlign w:val="center"/>
          </w:tcPr>
          <w:p>
            <w:pPr>
              <w:autoSpaceDE w:val="0"/>
              <w:autoSpaceDN w:val="0"/>
              <w:adjustRightInd w:val="0"/>
              <w:spacing w:line="191" w:lineRule="atLeast"/>
              <w:ind w:left="71" w:leftChars="34"/>
              <w:jc w:val="center"/>
              <w:rPr>
                <w:rFonts w:ascii="宋体" w:hAnsi="宋体"/>
                <w:kern w:val="0"/>
                <w:sz w:val="20"/>
                <w:szCs w:val="16"/>
              </w:rPr>
            </w:pPr>
          </w:p>
        </w:tc>
      </w:tr>
    </w:tbl>
    <w:p>
      <w:pPr>
        <w:pStyle w:val="3"/>
        <w:ind w:firstLine="0" w:firstLineChars="0"/>
        <w:rPr>
          <w:rFonts w:ascii="宋体" w:hAnsi="宋体"/>
        </w:rPr>
      </w:pPr>
    </w:p>
    <w:p>
      <w:pPr>
        <w:pStyle w:val="4"/>
        <w:spacing w:beforeLines="0" w:afterLines="0"/>
        <w:rPr>
          <w:rFonts w:ascii="宋体" w:hAnsi="宋体"/>
        </w:rPr>
      </w:pPr>
      <w:bookmarkStart w:id="23" w:name="_Toc447184072"/>
      <w:bookmarkStart w:id="24" w:name="_Toc204685514"/>
      <w:r>
        <w:rPr>
          <w:rFonts w:hint="eastAsia" w:ascii="宋体" w:hAnsi="宋体"/>
        </w:rPr>
        <w:t>文档说明</w:t>
      </w:r>
      <w:bookmarkEnd w:id="23"/>
      <w:bookmarkEnd w:id="24"/>
    </w:p>
    <w:p>
      <w:pPr>
        <w:pStyle w:val="2"/>
        <w:spacing w:before="156" w:after="156"/>
        <w:rPr>
          <w:rFonts w:ascii="宋体" w:hAnsi="宋体"/>
        </w:rPr>
      </w:pPr>
      <w:bookmarkStart w:id="25" w:name="_Toc447184073"/>
      <w:bookmarkStart w:id="26" w:name="_Toc204685515"/>
      <w:bookmarkStart w:id="27" w:name="_Toc203798229"/>
      <w:r>
        <w:rPr>
          <w:rFonts w:hint="eastAsia" w:ascii="宋体" w:hAnsi="宋体"/>
        </w:rPr>
        <w:t>功能说明</w:t>
      </w:r>
      <w:bookmarkEnd w:id="25"/>
      <w:bookmarkEnd w:id="26"/>
      <w:bookmarkEnd w:id="27"/>
    </w:p>
    <w:p>
      <w:pPr>
        <w:pStyle w:val="4"/>
        <w:spacing w:beforeLines="0" w:afterLines="0"/>
        <w:rPr>
          <w:rFonts w:ascii="宋体" w:hAnsi="宋体"/>
        </w:rPr>
      </w:pPr>
      <w:bookmarkStart w:id="28" w:name="_Toc447184075"/>
      <w:bookmarkStart w:id="29" w:name="_Toc241288521"/>
      <w:r>
        <w:rPr>
          <w:rFonts w:hint="eastAsia" w:ascii="宋体" w:hAnsi="宋体"/>
        </w:rPr>
        <w:t>该功能涉及的交易</w:t>
      </w:r>
      <w:bookmarkEnd w:id="28"/>
      <w:bookmarkEnd w:id="29"/>
    </w:p>
    <w:p>
      <w:pPr>
        <w:pStyle w:val="3"/>
      </w:pPr>
    </w:p>
    <w:tbl>
      <w:tblPr>
        <w:tblStyle w:val="45"/>
        <w:tblpPr w:leftFromText="180" w:rightFromText="180" w:vertAnchor="text" w:tblpY="1"/>
        <w:tblOverlap w:val="never"/>
        <w:tblW w:w="8609"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6"/>
        <w:gridCol w:w="2846"/>
        <w:gridCol w:w="1236"/>
        <w:gridCol w:w="1773"/>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tcBorders>
              <w:bottom w:val="single" w:color="auto" w:sz="4" w:space="0"/>
            </w:tcBorders>
            <w:shd w:val="clear" w:color="auto" w:fill="CCCCCC"/>
            <w:vAlign w:val="center"/>
          </w:tcPr>
          <w:p>
            <w:r>
              <w:rPr>
                <w:rFonts w:hint="eastAsia"/>
              </w:rPr>
              <w:t>交易码</w:t>
            </w:r>
          </w:p>
        </w:tc>
        <w:tc>
          <w:tcPr>
            <w:tcW w:w="2846" w:type="dxa"/>
            <w:tcBorders>
              <w:bottom w:val="single" w:color="auto" w:sz="4" w:space="0"/>
            </w:tcBorders>
            <w:shd w:val="clear" w:color="auto" w:fill="CCCCCC"/>
            <w:vAlign w:val="center"/>
          </w:tcPr>
          <w:p>
            <w:r>
              <w:rPr>
                <w:rFonts w:hint="eastAsia"/>
              </w:rPr>
              <w:t>交易名称</w:t>
            </w:r>
          </w:p>
        </w:tc>
        <w:tc>
          <w:tcPr>
            <w:tcW w:w="1236" w:type="dxa"/>
            <w:tcBorders>
              <w:bottom w:val="single" w:color="auto" w:sz="4" w:space="0"/>
            </w:tcBorders>
            <w:shd w:val="clear" w:color="auto" w:fill="CCCCCC"/>
            <w:vAlign w:val="center"/>
          </w:tcPr>
          <w:p>
            <w:r>
              <w:rPr>
                <w:rFonts w:hint="eastAsia"/>
              </w:rPr>
              <w:t>相关模块</w:t>
            </w:r>
          </w:p>
        </w:tc>
        <w:tc>
          <w:tcPr>
            <w:tcW w:w="1773" w:type="dxa"/>
            <w:tcBorders>
              <w:bottom w:val="single" w:color="auto" w:sz="4" w:space="0"/>
            </w:tcBorders>
            <w:shd w:val="clear" w:color="auto" w:fill="CCCCCC"/>
          </w:tcPr>
          <w:p>
            <w:r>
              <w:rPr>
                <w:rFonts w:hint="eastAsia"/>
              </w:rPr>
              <w:t>新增</w:t>
            </w:r>
            <w:r>
              <w:t>/</w:t>
            </w:r>
            <w:r>
              <w:rPr>
                <w:rFonts w:hint="eastAsia"/>
              </w:rPr>
              <w:t>修改</w:t>
            </w:r>
            <w:r>
              <w:t>/</w:t>
            </w:r>
            <w:r>
              <w:rPr>
                <w:rFonts w:hint="eastAsia"/>
              </w:rPr>
              <w:t>已有</w:t>
            </w:r>
          </w:p>
        </w:tc>
        <w:tc>
          <w:tcPr>
            <w:tcW w:w="1658" w:type="dxa"/>
            <w:tcBorders>
              <w:bottom w:val="single" w:color="auto" w:sz="4" w:space="0"/>
            </w:tcBorders>
            <w:shd w:val="clear" w:color="auto" w:fill="CCCCCC"/>
          </w:tcPr>
          <w:p>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r>
              <w:rPr>
                <w:rFonts w:hint="eastAsia"/>
              </w:rPr>
              <w:t>揽储统计汇总表</w:t>
            </w:r>
          </w:p>
        </w:tc>
        <w:tc>
          <w:tcPr>
            <w:tcW w:w="1236" w:type="dxa"/>
            <w:vAlign w:val="center"/>
          </w:tcPr>
          <w:p/>
        </w:tc>
        <w:tc>
          <w:tcPr>
            <w:tcW w:w="1773" w:type="dxa"/>
          </w:tcPr>
          <w:p>
            <w:r>
              <w:rPr>
                <w:rFonts w:hint="eastAsia"/>
              </w:rPr>
              <w:t>新增</w:t>
            </w: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r>
              <w:rPr>
                <w:rFonts w:hint="eastAsia"/>
              </w:rPr>
              <w:t>揽储统计明细表</w:t>
            </w:r>
          </w:p>
        </w:tc>
        <w:tc>
          <w:tcPr>
            <w:tcW w:w="1236" w:type="dxa"/>
            <w:vAlign w:val="center"/>
          </w:tcPr>
          <w:p/>
        </w:tc>
        <w:tc>
          <w:tcPr>
            <w:tcW w:w="1773" w:type="dxa"/>
          </w:tcPr>
          <w:p>
            <w:r>
              <w:rPr>
                <w:rFonts w:hint="eastAsia"/>
              </w:rPr>
              <w:t>新增</w:t>
            </w: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1096" w:type="dxa"/>
            <w:vAlign w:val="center"/>
          </w:tcPr>
          <w:p>
            <w:pPr>
              <w:rPr>
                <w:kern w:val="0"/>
                <w:sz w:val="18"/>
                <w:szCs w:val="18"/>
              </w:rPr>
            </w:pPr>
          </w:p>
        </w:tc>
        <w:tc>
          <w:tcPr>
            <w:tcW w:w="2846" w:type="dxa"/>
            <w:vAlign w:val="bottom"/>
          </w:tcPr>
          <w:p/>
        </w:tc>
        <w:tc>
          <w:tcPr>
            <w:tcW w:w="1236" w:type="dxa"/>
            <w:vAlign w:val="center"/>
          </w:tcPr>
          <w:p/>
        </w:tc>
        <w:tc>
          <w:tcPr>
            <w:tcW w:w="1773" w:type="dxa"/>
          </w:tcPr>
          <w:p/>
        </w:tc>
        <w:tc>
          <w:tcPr>
            <w:tcW w:w="1658" w:type="dxa"/>
          </w:tcPr>
          <w:p/>
        </w:tc>
      </w:tr>
    </w:tbl>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p>
      <w:pPr>
        <w:rPr>
          <w:rFonts w:ascii="宋体" w:hAnsi="宋体"/>
        </w:rPr>
      </w:pPr>
    </w:p>
    <w:bookmarkEnd w:id="4"/>
    <w:bookmarkEnd w:id="5"/>
    <w:bookmarkEnd w:id="9"/>
    <w:bookmarkEnd w:id="10"/>
    <w:p>
      <w:pPr>
        <w:pStyle w:val="4"/>
        <w:tabs>
          <w:tab w:val="clear" w:pos="576"/>
        </w:tabs>
        <w:spacing w:beforeLines="0" w:afterLines="0"/>
        <w:rPr>
          <w:color w:val="000000"/>
        </w:rPr>
      </w:pPr>
      <w:bookmarkStart w:id="30" w:name="_Toc437960663"/>
      <w:r>
        <w:rPr>
          <w:rFonts w:hint="eastAsia"/>
          <w:color w:val="000000"/>
        </w:rPr>
        <w:t>稳得利产品定义</w:t>
      </w:r>
      <w:bookmarkEnd w:id="30"/>
    </w:p>
    <w:p>
      <w:pPr>
        <w:pStyle w:val="5"/>
        <w:tabs>
          <w:tab w:val="clear" w:pos="1146"/>
        </w:tabs>
        <w:spacing w:beforeLines="0" w:afterLines="0"/>
        <w:ind w:left="709" w:hanging="709"/>
        <w:rPr>
          <w:color w:val="000000"/>
        </w:rPr>
      </w:pPr>
      <w:bookmarkStart w:id="31" w:name="_Toc437960664"/>
      <w:bookmarkStart w:id="32" w:name="_Toc239817089"/>
      <w:r>
        <w:rPr>
          <w:rFonts w:hint="eastAsia"/>
          <w:color w:val="000000"/>
        </w:rPr>
        <w:t>需求编号</w:t>
      </w:r>
      <w:bookmarkEnd w:id="31"/>
      <w:bookmarkEnd w:id="32"/>
    </w:p>
    <w:p>
      <w:pPr>
        <w:pStyle w:val="5"/>
        <w:tabs>
          <w:tab w:val="clear" w:pos="1146"/>
        </w:tabs>
        <w:spacing w:beforeLines="0" w:afterLines="0"/>
        <w:ind w:left="709" w:hanging="709"/>
        <w:rPr>
          <w:color w:val="000000"/>
        </w:rPr>
      </w:pPr>
      <w:bookmarkStart w:id="33" w:name="_Toc239817090"/>
      <w:bookmarkStart w:id="34" w:name="_Toc437960665"/>
      <w:r>
        <w:rPr>
          <w:rFonts w:hint="eastAsia"/>
          <w:color w:val="000000"/>
        </w:rPr>
        <w:t>功能描述</w:t>
      </w:r>
      <w:bookmarkEnd w:id="33"/>
      <w:bookmarkEnd w:id="34"/>
    </w:p>
    <w:p>
      <w:pPr>
        <w:pStyle w:val="56"/>
        <w:rPr>
          <w:i w:val="0"/>
          <w:color w:val="000000"/>
        </w:rPr>
      </w:pPr>
      <w:r>
        <w:rPr>
          <w:rFonts w:hint="eastAsia"/>
          <w:i w:val="0"/>
          <w:color w:val="000000"/>
        </w:rPr>
        <w:t>在原有form系统的存款产品定义交易中，定义稳得利产品参数。</w:t>
      </w:r>
    </w:p>
    <w:p>
      <w:pPr>
        <w:pStyle w:val="5"/>
        <w:tabs>
          <w:tab w:val="clear" w:pos="1146"/>
        </w:tabs>
        <w:spacing w:beforeLines="0" w:afterLines="0"/>
        <w:ind w:left="709" w:hanging="709"/>
        <w:rPr>
          <w:color w:val="000000"/>
        </w:rPr>
      </w:pPr>
      <w:bookmarkStart w:id="35" w:name="_Toc239817091"/>
      <w:bookmarkStart w:id="36" w:name="_Toc437960666"/>
      <w:r>
        <w:rPr>
          <w:rFonts w:hint="eastAsia"/>
          <w:color w:val="000000"/>
        </w:rPr>
        <w:t>菜单</w:t>
      </w:r>
      <w:bookmarkEnd w:id="35"/>
      <w:bookmarkEnd w:id="36"/>
    </w:p>
    <w:p>
      <w:pPr>
        <w:pStyle w:val="3"/>
        <w:rPr>
          <w:color w:val="000000"/>
        </w:rPr>
      </w:pPr>
      <w:r>
        <w:rPr>
          <w:rFonts w:hint="eastAsia"/>
          <w:color w:val="000000"/>
        </w:rPr>
        <w:t>存款</w:t>
      </w:r>
    </w:p>
    <w:p>
      <w:pPr>
        <w:pStyle w:val="3"/>
        <w:rPr>
          <w:color w:val="000000"/>
        </w:rPr>
      </w:pPr>
      <w:r>
        <w:rPr>
          <w:rFonts w:hint="eastAsia"/>
          <w:color w:val="000000"/>
        </w:rPr>
        <w:tab/>
      </w:r>
      <w:r>
        <w:rPr>
          <w:rFonts w:hint="eastAsia"/>
          <w:color w:val="000000"/>
        </w:rPr>
        <w:t>静态数据</w:t>
      </w:r>
    </w:p>
    <w:p>
      <w:pPr>
        <w:pStyle w:val="3"/>
        <w:rPr>
          <w:color w:val="000000"/>
        </w:rPr>
      </w:pPr>
      <w:r>
        <w:rPr>
          <w:rFonts w:hint="eastAsia"/>
          <w:color w:val="000000"/>
        </w:rPr>
        <w:tab/>
      </w:r>
      <w:r>
        <w:rPr>
          <w:rFonts w:hint="eastAsia"/>
          <w:color w:val="000000"/>
        </w:rPr>
        <w:tab/>
      </w:r>
      <w:r>
        <w:rPr>
          <w:rFonts w:hint="eastAsia"/>
          <w:color w:val="000000"/>
        </w:rPr>
        <w:t>文件维护</w:t>
      </w:r>
    </w:p>
    <w:p>
      <w:pPr>
        <w:pStyle w:val="3"/>
        <w:rPr>
          <w:color w:val="000000"/>
        </w:rPr>
      </w:pPr>
      <w:r>
        <w:rPr>
          <w:rFonts w:hint="eastAsia"/>
          <w:color w:val="000000"/>
        </w:rPr>
        <w:t xml:space="preserve">          存款产品定义</w:t>
      </w:r>
    </w:p>
    <w:p>
      <w:pPr>
        <w:pStyle w:val="5"/>
        <w:tabs>
          <w:tab w:val="clear" w:pos="1146"/>
        </w:tabs>
        <w:spacing w:beforeLines="0" w:afterLines="0"/>
        <w:ind w:left="709" w:hanging="709"/>
        <w:rPr>
          <w:color w:val="000000"/>
        </w:rPr>
      </w:pPr>
      <w:bookmarkStart w:id="37" w:name="_Toc239817092"/>
      <w:bookmarkStart w:id="38" w:name="_Toc437960667"/>
      <w:r>
        <w:rPr>
          <w:rFonts w:hint="eastAsia"/>
          <w:color w:val="000000"/>
        </w:rPr>
        <w:t>输入输出</w:t>
      </w:r>
      <w:bookmarkEnd w:id="37"/>
      <w:bookmarkEnd w:id="38"/>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jc w:val="center"/>
        <w:rPr>
          <w:rFonts w:ascii="Arial" w:hAnsi="Arial" w:cs="Arial"/>
          <w:color w:val="000000"/>
        </w:rPr>
      </w:pPr>
      <w:r>
        <w:rPr>
          <w:rFonts w:ascii="Arial" w:hAnsi="Arial" w:cs="Arial"/>
          <w:color w:val="000000"/>
        </w:rPr>
        <w:drawing>
          <wp:inline distT="0" distB="0" distL="0" distR="0">
            <wp:extent cx="4460240" cy="3667125"/>
            <wp:effectExtent l="19050" t="0" r="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
                    <pic:cNvPicPr>
                      <a:picLocks noChangeAspect="1" noChangeArrowheads="1"/>
                    </pic:cNvPicPr>
                  </pic:nvPicPr>
                  <pic:blipFill>
                    <a:blip r:embed="rId15"/>
                    <a:srcRect/>
                    <a:stretch>
                      <a:fillRect/>
                    </a:stretch>
                  </pic:blipFill>
                  <pic:spPr>
                    <a:xfrm>
                      <a:off x="0" y="0"/>
                      <a:ext cx="4464703" cy="3670668"/>
                    </a:xfrm>
                    <a:prstGeom prst="rect">
                      <a:avLst/>
                    </a:prstGeom>
                    <a:noFill/>
                    <a:ln w="9525">
                      <a:noFill/>
                      <a:miter lim="800000"/>
                      <a:headEnd/>
                      <a:tailEnd/>
                    </a:ln>
                  </pic:spPr>
                </pic:pic>
              </a:graphicData>
            </a:graphic>
          </wp:inline>
        </w:drawing>
      </w:r>
    </w:p>
    <w:p>
      <w:pPr>
        <w:jc w:val="center"/>
        <w:rPr>
          <w:rFonts w:ascii="Arial" w:hAnsi="Arial" w:cs="Arial"/>
          <w:color w:val="000000"/>
        </w:rPr>
      </w:pPr>
      <w:r>
        <w:rPr>
          <w:rFonts w:ascii="Arial" w:hAnsi="Arial" w:cs="Arial"/>
          <w:color w:val="000000"/>
        </w:rPr>
        <w:drawing>
          <wp:inline distT="0" distB="0" distL="0" distR="0">
            <wp:extent cx="4629150" cy="3793490"/>
            <wp:effectExtent l="19050" t="0" r="0" b="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noChangeArrowheads="1"/>
                    </pic:cNvPicPr>
                  </pic:nvPicPr>
                  <pic:blipFill>
                    <a:blip r:embed="rId16"/>
                    <a:srcRect/>
                    <a:stretch>
                      <a:fillRect/>
                    </a:stretch>
                  </pic:blipFill>
                  <pic:spPr>
                    <a:xfrm>
                      <a:off x="0" y="0"/>
                      <a:ext cx="4630287" cy="3794964"/>
                    </a:xfrm>
                    <a:prstGeom prst="rect">
                      <a:avLst/>
                    </a:prstGeom>
                    <a:noFill/>
                    <a:ln w="9525">
                      <a:noFill/>
                      <a:miter lim="800000"/>
                      <a:headEnd/>
                      <a:tailEnd/>
                    </a:ln>
                  </pic:spPr>
                </pic:pic>
              </a:graphicData>
            </a:graphic>
          </wp:inline>
        </w:drawing>
      </w:r>
    </w:p>
    <w:p>
      <w:pPr>
        <w:jc w:val="center"/>
        <w:rPr>
          <w:rFonts w:ascii="Arial" w:hAnsi="Arial" w:cs="Arial"/>
          <w:color w:val="000000"/>
        </w:rPr>
      </w:pPr>
      <w:r>
        <w:rPr>
          <w:rFonts w:ascii="Arial" w:hAnsi="Arial" w:cs="Arial"/>
          <w:color w:val="000000"/>
        </w:rPr>
        <w:drawing>
          <wp:inline distT="0" distB="0" distL="0" distR="0">
            <wp:extent cx="4857750" cy="3876675"/>
            <wp:effectExtent l="1905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noChangeArrowheads="1"/>
                    </pic:cNvPicPr>
                  </pic:nvPicPr>
                  <pic:blipFill>
                    <a:blip r:embed="rId17"/>
                    <a:srcRect/>
                    <a:stretch>
                      <a:fillRect/>
                    </a:stretch>
                  </pic:blipFill>
                  <pic:spPr>
                    <a:xfrm>
                      <a:off x="0" y="0"/>
                      <a:ext cx="4857750" cy="3877006"/>
                    </a:xfrm>
                    <a:prstGeom prst="rect">
                      <a:avLst/>
                    </a:prstGeom>
                    <a:noFill/>
                    <a:ln w="9525">
                      <a:noFill/>
                      <a:miter lim="800000"/>
                      <a:headEnd/>
                      <a:tailEnd/>
                    </a:ln>
                  </pic:spPr>
                </pic:pic>
              </a:graphicData>
            </a:graphic>
          </wp:inline>
        </w:drawing>
      </w:r>
    </w:p>
    <w:p>
      <w:pPr>
        <w:rPr>
          <w:rFonts w:ascii="Arial" w:hAnsi="Arial" w:cs="Arial"/>
          <w:color w:val="000000"/>
        </w:rPr>
      </w:pPr>
    </w:p>
    <w:p>
      <w:pPr>
        <w:pStyle w:val="5"/>
        <w:tabs>
          <w:tab w:val="clear" w:pos="1146"/>
        </w:tabs>
        <w:spacing w:beforeLines="0" w:afterLines="0"/>
        <w:ind w:left="709" w:hanging="709"/>
        <w:rPr>
          <w:color w:val="000000"/>
        </w:rPr>
      </w:pPr>
      <w:bookmarkStart w:id="39" w:name="_Toc239817094"/>
      <w:bookmarkStart w:id="40" w:name="_Toc437960668"/>
      <w:r>
        <w:rPr>
          <w:rFonts w:hint="eastAsia"/>
          <w:color w:val="000000"/>
        </w:rPr>
        <w:t>交易处理</w:t>
      </w:r>
      <w:bookmarkEnd w:id="39"/>
      <w:bookmarkEnd w:id="40"/>
    </w:p>
    <w:p>
      <w:pPr>
        <w:pStyle w:val="3"/>
        <w:spacing w:line="360" w:lineRule="auto"/>
        <w:ind w:firstLine="525" w:firstLineChars="250"/>
        <w:rPr>
          <w:color w:val="000000"/>
        </w:rPr>
      </w:pPr>
      <w:r>
        <w:rPr>
          <w:rFonts w:hint="eastAsia"/>
          <w:color w:val="000000"/>
        </w:rPr>
        <w:t>在原有form系统中的存款产品定义（RB12）交易中定义稳得利产品类型，主要要素包括：稳得利账户类型、利息支出科目、负债科目、累计应付利息科目、累计利息支出科目、基准利率、起存金额、凭证类型等。</w:t>
      </w:r>
    </w:p>
    <w:p>
      <w:pPr>
        <w:pStyle w:val="5"/>
        <w:tabs>
          <w:tab w:val="clear" w:pos="1146"/>
        </w:tabs>
        <w:spacing w:beforeLines="0" w:afterLines="0"/>
        <w:ind w:left="709" w:hanging="709"/>
        <w:rPr>
          <w:color w:val="000000"/>
        </w:rPr>
      </w:pPr>
      <w:bookmarkStart w:id="41" w:name="_Toc437960669"/>
      <w:r>
        <w:rPr>
          <w:rFonts w:hint="eastAsia"/>
          <w:color w:val="000000"/>
        </w:rPr>
        <w:t>会计分录</w:t>
      </w:r>
      <w:bookmarkEnd w:id="41"/>
    </w:p>
    <w:p>
      <w:pPr>
        <w:pStyle w:val="107"/>
        <w:ind w:firstLine="420" w:firstLineChars="0"/>
        <w:rPr>
          <w:color w:val="000000"/>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42" w:name="_Toc437960670"/>
      <w:r>
        <w:rPr>
          <w:rFonts w:hint="eastAsia"/>
          <w:color w:val="000000"/>
        </w:rPr>
        <w:t>打印格式</w:t>
      </w:r>
      <w:bookmarkEnd w:id="42"/>
    </w:p>
    <w:p>
      <w:pPr>
        <w:spacing w:line="360" w:lineRule="auto"/>
        <w:ind w:firstLine="420" w:firstLineChars="200"/>
        <w:rPr>
          <w:color w:val="000000"/>
        </w:rPr>
      </w:pPr>
      <w:r>
        <w:rPr>
          <w:rFonts w:hint="eastAsia"/>
          <w:color w:val="000000"/>
        </w:rPr>
        <w:t>无</w:t>
      </w:r>
    </w:p>
    <w:p>
      <w:pPr>
        <w:ind w:left="709"/>
      </w:pPr>
    </w:p>
    <w:p>
      <w:pPr>
        <w:pStyle w:val="4"/>
        <w:tabs>
          <w:tab w:val="clear" w:pos="576"/>
        </w:tabs>
        <w:spacing w:beforeLines="0" w:afterLines="0"/>
        <w:rPr>
          <w:color w:val="000000"/>
        </w:rPr>
      </w:pPr>
      <w:bookmarkStart w:id="43" w:name="_Toc437960671"/>
      <w:r>
        <w:rPr>
          <w:rFonts w:hint="eastAsia"/>
          <w:color w:val="000000"/>
        </w:rPr>
        <w:t>稳得利账户开立</w:t>
      </w:r>
      <w:bookmarkEnd w:id="43"/>
    </w:p>
    <w:p>
      <w:pPr>
        <w:pStyle w:val="5"/>
        <w:tabs>
          <w:tab w:val="clear" w:pos="1146"/>
        </w:tabs>
        <w:spacing w:beforeLines="0" w:afterLines="0"/>
        <w:ind w:left="709" w:hanging="709"/>
        <w:rPr>
          <w:color w:val="000000"/>
        </w:rPr>
      </w:pPr>
      <w:bookmarkStart w:id="44" w:name="_Toc437960672"/>
      <w:r>
        <w:rPr>
          <w:rFonts w:hint="eastAsia"/>
          <w:color w:val="000000"/>
        </w:rPr>
        <w:t>需求编号</w:t>
      </w:r>
      <w:bookmarkEnd w:id="44"/>
    </w:p>
    <w:p>
      <w:pPr>
        <w:pStyle w:val="5"/>
        <w:tabs>
          <w:tab w:val="clear" w:pos="1146"/>
        </w:tabs>
        <w:spacing w:beforeLines="0" w:afterLines="0"/>
        <w:ind w:left="709" w:hanging="709"/>
        <w:rPr>
          <w:color w:val="000000"/>
        </w:rPr>
      </w:pPr>
      <w:bookmarkStart w:id="45" w:name="_Toc437960673"/>
      <w:r>
        <w:rPr>
          <w:rFonts w:hint="eastAsia"/>
          <w:color w:val="000000"/>
        </w:rPr>
        <w:t>功能描述</w:t>
      </w:r>
      <w:bookmarkEnd w:id="45"/>
    </w:p>
    <w:p>
      <w:pPr>
        <w:pStyle w:val="56"/>
        <w:rPr>
          <w:i w:val="0"/>
          <w:color w:val="000000"/>
        </w:rPr>
      </w:pPr>
      <w:r>
        <w:rPr>
          <w:rFonts w:hint="eastAsia"/>
          <w:i w:val="0"/>
          <w:color w:val="000000"/>
        </w:rPr>
        <w:t>定期存单开立（RB213A）交易可以完成普通定期存单的开立。但该交易对金额、币种、存期、收益账户、结息频率等信息的控制，不能满足“稳得利”存单开立的需求。需要新增适用于“稳得利”存单的账户类型、利率类型等参数，并增加相应的控制逻辑</w:t>
      </w:r>
      <w:r>
        <w:rPr>
          <w:rFonts w:hint="eastAsia"/>
          <w:i w:val="0"/>
          <w:color w:val="000000"/>
          <w:szCs w:val="21"/>
        </w:rPr>
        <w:t>。</w:t>
      </w:r>
    </w:p>
    <w:p>
      <w:pPr>
        <w:pStyle w:val="5"/>
        <w:tabs>
          <w:tab w:val="clear" w:pos="1146"/>
        </w:tabs>
        <w:spacing w:beforeLines="0" w:afterLines="0"/>
        <w:ind w:left="709" w:hanging="709"/>
        <w:rPr>
          <w:color w:val="000000"/>
        </w:rPr>
      </w:pPr>
      <w:bookmarkStart w:id="46" w:name="_Toc437960674"/>
      <w:r>
        <w:rPr>
          <w:rFonts w:hint="eastAsia"/>
          <w:color w:val="000000"/>
        </w:rPr>
        <w:t>菜单</w:t>
      </w:r>
      <w:bookmarkEnd w:id="46"/>
    </w:p>
    <w:p>
      <w:pPr>
        <w:pStyle w:val="3"/>
        <w:rPr>
          <w:color w:val="000000"/>
        </w:rPr>
      </w:pPr>
      <w:r>
        <w:rPr>
          <w:rFonts w:hint="eastAsia"/>
          <w:color w:val="000000"/>
        </w:rPr>
        <w:t>存款业务</w:t>
      </w:r>
    </w:p>
    <w:p>
      <w:pPr>
        <w:pStyle w:val="3"/>
        <w:rPr>
          <w:color w:val="000000"/>
        </w:rPr>
      </w:pPr>
      <w:r>
        <w:rPr>
          <w:rFonts w:hint="eastAsia"/>
          <w:color w:val="000000"/>
        </w:rPr>
        <w:tab/>
      </w:r>
      <w:r>
        <w:rPr>
          <w:rFonts w:hint="eastAsia"/>
          <w:color w:val="000000"/>
        </w:rPr>
        <w:t>定期</w:t>
      </w:r>
    </w:p>
    <w:p>
      <w:pPr>
        <w:pStyle w:val="3"/>
        <w:rPr>
          <w:color w:val="000000"/>
        </w:rPr>
      </w:pPr>
      <w:r>
        <w:rPr>
          <w:rFonts w:hint="eastAsia"/>
          <w:color w:val="000000"/>
        </w:rPr>
        <w:tab/>
      </w:r>
      <w:r>
        <w:rPr>
          <w:rFonts w:hint="eastAsia"/>
          <w:color w:val="000000"/>
        </w:rPr>
        <w:tab/>
      </w:r>
      <w:r>
        <w:rPr>
          <w:rFonts w:hint="eastAsia"/>
          <w:color w:val="000000"/>
        </w:rPr>
        <w:t>定期存单开立</w:t>
      </w:r>
    </w:p>
    <w:p>
      <w:pPr>
        <w:pStyle w:val="3"/>
        <w:rPr>
          <w:color w:val="000000"/>
        </w:rPr>
      </w:pPr>
      <w:r>
        <w:rPr>
          <w:rFonts w:hint="eastAsia"/>
          <w:color w:val="000000"/>
        </w:rPr>
        <w:t xml:space="preserve">         </w:t>
      </w:r>
    </w:p>
    <w:p>
      <w:pPr>
        <w:pStyle w:val="5"/>
        <w:tabs>
          <w:tab w:val="clear" w:pos="1146"/>
        </w:tabs>
        <w:spacing w:beforeLines="0" w:afterLines="0"/>
        <w:ind w:left="709" w:hanging="709"/>
        <w:rPr>
          <w:color w:val="000000"/>
        </w:rPr>
      </w:pPr>
      <w:bookmarkStart w:id="47" w:name="_Toc437960675"/>
      <w:r>
        <w:rPr>
          <w:rFonts w:hint="eastAsia"/>
          <w:color w:val="000000"/>
        </w:rPr>
        <w:t>输入输出</w:t>
      </w:r>
      <w:bookmarkEnd w:id="47"/>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numPr>
          <w:ilvl w:val="0"/>
          <w:numId w:val="14"/>
        </w:numPr>
        <w:rPr>
          <w:rFonts w:ascii="Arial" w:hAnsi="Arial" w:cs="Arial"/>
          <w:color w:val="000000"/>
        </w:rPr>
      </w:pPr>
      <w:r>
        <w:rPr>
          <w:rFonts w:hint="eastAsia" w:ascii="Arial" w:hAnsi="Arial" w:cs="Arial"/>
          <w:color w:val="000000"/>
        </w:rPr>
        <w:t>主交易界面</w:t>
      </w:r>
    </w:p>
    <w:p>
      <w:pPr>
        <w:jc w:val="center"/>
        <w:rPr>
          <w:rFonts w:ascii="Arial" w:hAnsi="Arial" w:cs="Arial"/>
          <w:color w:val="000000"/>
        </w:rPr>
      </w:pPr>
      <w:r>
        <w:rPr>
          <w:rFonts w:ascii="Arial" w:hAnsi="Arial" w:cs="Arial"/>
          <w:color w:val="000000"/>
        </w:rPr>
        <w:drawing>
          <wp:inline distT="0" distB="0" distL="0" distR="0">
            <wp:extent cx="5998210" cy="3459480"/>
            <wp:effectExtent l="19050" t="0" r="2540" b="0"/>
            <wp:docPr id="21" name="图片 20" descr="稳得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0" descr="稳得利1.jpg"/>
                    <pic:cNvPicPr>
                      <a:picLocks noChangeAspect="1"/>
                    </pic:cNvPicPr>
                  </pic:nvPicPr>
                  <pic:blipFill>
                    <a:blip r:embed="rId18"/>
                    <a:stretch>
                      <a:fillRect/>
                    </a:stretch>
                  </pic:blipFill>
                  <pic:spPr>
                    <a:xfrm>
                      <a:off x="0" y="0"/>
                      <a:ext cx="5998210" cy="3459480"/>
                    </a:xfrm>
                    <a:prstGeom prst="rect">
                      <a:avLst/>
                    </a:prstGeom>
                  </pic:spPr>
                </pic:pic>
              </a:graphicData>
            </a:graphic>
          </wp:inline>
        </w:drawing>
      </w:r>
    </w:p>
    <w:p>
      <w:pPr>
        <w:numPr>
          <w:ilvl w:val="0"/>
          <w:numId w:val="14"/>
        </w:numPr>
        <w:rPr>
          <w:rFonts w:ascii="Arial" w:hAnsi="Arial" w:cs="Arial"/>
          <w:color w:val="000000"/>
        </w:rPr>
      </w:pPr>
      <w:r>
        <w:rPr>
          <w:rFonts w:hint="eastAsia" w:ascii="Arial" w:hAnsi="Arial" w:cs="Arial"/>
          <w:color w:val="000000"/>
        </w:rPr>
        <w:t>定期存款明细页签</w:t>
      </w:r>
    </w:p>
    <w:p>
      <w:pPr>
        <w:jc w:val="center"/>
        <w:rPr>
          <w:rFonts w:ascii="微软雅黑" w:eastAsia="微软雅黑" w:cs="微软雅黑"/>
          <w:color w:val="000000"/>
          <w:kern w:val="0"/>
          <w:sz w:val="24"/>
          <w:lang w:val="zh-CN"/>
        </w:rPr>
      </w:pPr>
      <w:r>
        <w:rPr>
          <w:rFonts w:ascii="微软雅黑" w:eastAsia="微软雅黑" w:cs="微软雅黑"/>
          <w:color w:val="000000"/>
          <w:kern w:val="0"/>
          <w:sz w:val="24"/>
        </w:rPr>
        <w:drawing>
          <wp:inline distT="0" distB="0" distL="0" distR="0">
            <wp:extent cx="5572125" cy="3551555"/>
            <wp:effectExtent l="19050" t="0" r="9525" b="0"/>
            <wp:docPr id="26" name="图片 25" descr="稳得利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稳得利4.jpg"/>
                    <pic:cNvPicPr>
                      <a:picLocks noChangeAspect="1"/>
                    </pic:cNvPicPr>
                  </pic:nvPicPr>
                  <pic:blipFill>
                    <a:blip r:embed="rId19"/>
                    <a:stretch>
                      <a:fillRect/>
                    </a:stretch>
                  </pic:blipFill>
                  <pic:spPr>
                    <a:xfrm>
                      <a:off x="0" y="0"/>
                      <a:ext cx="5582909" cy="3558617"/>
                    </a:xfrm>
                    <a:prstGeom prst="rect">
                      <a:avLst/>
                    </a:prstGeom>
                  </pic:spPr>
                </pic:pic>
              </a:graphicData>
            </a:graphic>
          </wp:inline>
        </w:drawing>
      </w:r>
    </w:p>
    <w:p>
      <w:pPr>
        <w:numPr>
          <w:ilvl w:val="0"/>
          <w:numId w:val="14"/>
        </w:numPr>
        <w:rPr>
          <w:rFonts w:ascii="Arial" w:hAnsi="Arial" w:cs="Arial"/>
          <w:color w:val="000000"/>
        </w:rPr>
      </w:pPr>
      <w:r>
        <w:rPr>
          <w:rFonts w:hint="eastAsia" w:ascii="Arial" w:hAnsi="Arial" w:cs="Arial"/>
          <w:color w:val="000000"/>
        </w:rPr>
        <w:t>贷方利息页签</w:t>
      </w:r>
    </w:p>
    <w:p>
      <w:pPr>
        <w:jc w:val="center"/>
        <w:rPr>
          <w:rFonts w:ascii="Arial" w:hAnsi="Arial" w:cs="Arial"/>
          <w:color w:val="000000"/>
        </w:rPr>
      </w:pPr>
      <w:r>
        <w:rPr>
          <w:rFonts w:ascii="Arial" w:hAnsi="Arial" w:cs="Arial"/>
          <w:color w:val="000000"/>
        </w:rPr>
        <w:drawing>
          <wp:inline distT="0" distB="0" distL="0" distR="0">
            <wp:extent cx="5292090" cy="3219450"/>
            <wp:effectExtent l="19050" t="0" r="3362" b="0"/>
            <wp:docPr id="25" name="图片 24" descr="稳得利2 拷贝.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descr="稳得利2 拷贝.jpg"/>
                    <pic:cNvPicPr>
                      <a:picLocks noChangeAspect="1"/>
                    </pic:cNvPicPr>
                  </pic:nvPicPr>
                  <pic:blipFill>
                    <a:blip r:embed="rId20"/>
                    <a:stretch>
                      <a:fillRect/>
                    </a:stretch>
                  </pic:blipFill>
                  <pic:spPr>
                    <a:xfrm>
                      <a:off x="0" y="0"/>
                      <a:ext cx="5293459" cy="3220010"/>
                    </a:xfrm>
                    <a:prstGeom prst="rect">
                      <a:avLst/>
                    </a:prstGeom>
                  </pic:spPr>
                </pic:pic>
              </a:graphicData>
            </a:graphic>
          </wp:inline>
        </w:drawing>
      </w:r>
    </w:p>
    <w:p>
      <w:pPr>
        <w:ind w:left="420"/>
        <w:jc w:val="center"/>
        <w:rPr>
          <w:rFonts w:ascii="Arial" w:hAnsi="Arial" w:cs="Arial"/>
          <w:color w:val="000000"/>
        </w:rPr>
      </w:pPr>
    </w:p>
    <w:p>
      <w:pPr>
        <w:numPr>
          <w:ilvl w:val="0"/>
          <w:numId w:val="14"/>
        </w:numPr>
        <w:rPr>
          <w:rFonts w:ascii="Arial" w:hAnsi="Arial" w:cs="Arial"/>
          <w:color w:val="000000"/>
        </w:rPr>
      </w:pPr>
      <w:r>
        <w:rPr>
          <w:rFonts w:hint="eastAsia" w:ascii="Arial" w:hAnsi="Arial" w:cs="Arial"/>
          <w:color w:val="000000"/>
        </w:rPr>
        <w:t>代办人页签</w:t>
      </w:r>
    </w:p>
    <w:p>
      <w:pPr>
        <w:ind w:left="420"/>
        <w:jc w:val="center"/>
        <w:rPr>
          <w:rFonts w:ascii="Arial" w:hAnsi="Arial" w:cs="Arial"/>
          <w:color w:val="000000"/>
        </w:rPr>
      </w:pPr>
      <w:r>
        <w:rPr>
          <w:rFonts w:ascii="Arial" w:hAnsi="Arial" w:cs="Arial"/>
          <w:color w:val="000000"/>
        </w:rPr>
        <w:drawing>
          <wp:inline distT="0" distB="0" distL="0" distR="0">
            <wp:extent cx="4838065" cy="2943225"/>
            <wp:effectExtent l="19050" t="0" r="255" b="0"/>
            <wp:docPr id="23" name="图片 22" descr="稳得利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2" descr="稳得利3.jpg"/>
                    <pic:cNvPicPr>
                      <a:picLocks noChangeAspect="1"/>
                    </pic:cNvPicPr>
                  </pic:nvPicPr>
                  <pic:blipFill>
                    <a:blip r:embed="rId21"/>
                    <a:stretch>
                      <a:fillRect/>
                    </a:stretch>
                  </pic:blipFill>
                  <pic:spPr>
                    <a:xfrm>
                      <a:off x="0" y="0"/>
                      <a:ext cx="4839287" cy="2943737"/>
                    </a:xfrm>
                    <a:prstGeom prst="rect">
                      <a:avLst/>
                    </a:prstGeom>
                  </pic:spPr>
                </pic:pic>
              </a:graphicData>
            </a:graphic>
          </wp:inline>
        </w:drawing>
      </w:r>
    </w:p>
    <w:p>
      <w:pPr>
        <w:rPr>
          <w:rFonts w:ascii="Arial" w:hAnsi="Arial" w:cs="Arial"/>
          <w:color w:val="000000"/>
        </w:rPr>
      </w:pPr>
      <w:r>
        <w:rPr>
          <w:rFonts w:ascii="Arial" w:hAnsi="Arial" w:cs="Arial"/>
          <w:color w:val="000000"/>
        </w:rPr>
        <w:t>【输入输出描述】</w:t>
      </w:r>
    </w:p>
    <w:tbl>
      <w:tblPr>
        <w:tblStyle w:val="45"/>
        <w:tblW w:w="8640"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8"/>
        <w:gridCol w:w="1282"/>
        <w:gridCol w:w="1080"/>
        <w:gridCol w:w="900"/>
        <w:gridCol w:w="1080"/>
        <w:gridCol w:w="90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1418" w:type="dxa"/>
            <w:shd w:val="clear" w:color="auto" w:fill="A6A6A6"/>
          </w:tcPr>
          <w:p>
            <w:pPr>
              <w:rPr>
                <w:color w:val="000000"/>
              </w:rPr>
            </w:pPr>
            <w:r>
              <w:rPr>
                <w:rFonts w:hint="eastAsia"/>
                <w:color w:val="000000"/>
              </w:rPr>
              <w:t>中文名</w:t>
            </w:r>
          </w:p>
        </w:tc>
        <w:tc>
          <w:tcPr>
            <w:tcW w:w="1282" w:type="dxa"/>
            <w:shd w:val="clear" w:color="auto" w:fill="A6A6A6"/>
          </w:tcPr>
          <w:p>
            <w:pPr>
              <w:rPr>
                <w:color w:val="000000"/>
              </w:rPr>
            </w:pPr>
            <w:r>
              <w:rPr>
                <w:rFonts w:hint="eastAsia"/>
                <w:color w:val="000000"/>
              </w:rPr>
              <w:t>输入/输出</w:t>
            </w:r>
          </w:p>
        </w:tc>
        <w:tc>
          <w:tcPr>
            <w:tcW w:w="1080" w:type="dxa"/>
            <w:shd w:val="clear" w:color="auto" w:fill="A6A6A6"/>
          </w:tcPr>
          <w:p>
            <w:pPr>
              <w:rPr>
                <w:color w:val="000000"/>
              </w:rPr>
            </w:pPr>
            <w:r>
              <w:rPr>
                <w:rFonts w:hint="eastAsia"/>
                <w:color w:val="000000"/>
              </w:rPr>
              <w:t>数据类型</w:t>
            </w:r>
          </w:p>
        </w:tc>
        <w:tc>
          <w:tcPr>
            <w:tcW w:w="900" w:type="dxa"/>
            <w:shd w:val="clear" w:color="auto" w:fill="A6A6A6"/>
          </w:tcPr>
          <w:p>
            <w:pPr>
              <w:rPr>
                <w:color w:val="000000"/>
              </w:rPr>
            </w:pPr>
            <w:r>
              <w:rPr>
                <w:rFonts w:hint="eastAsia"/>
                <w:color w:val="000000"/>
              </w:rPr>
              <w:t>长度</w:t>
            </w:r>
          </w:p>
        </w:tc>
        <w:tc>
          <w:tcPr>
            <w:tcW w:w="1080" w:type="dxa"/>
            <w:shd w:val="clear" w:color="auto" w:fill="A6A6A6"/>
          </w:tcPr>
          <w:p>
            <w:pPr>
              <w:rPr>
                <w:color w:val="000000"/>
              </w:rPr>
            </w:pPr>
            <w:r>
              <w:rPr>
                <w:rFonts w:hint="eastAsia"/>
                <w:color w:val="000000"/>
              </w:rPr>
              <w:t>是否必填</w:t>
            </w:r>
          </w:p>
        </w:tc>
        <w:tc>
          <w:tcPr>
            <w:tcW w:w="900" w:type="dxa"/>
            <w:shd w:val="clear" w:color="auto" w:fill="A6A6A6"/>
          </w:tcPr>
          <w:p>
            <w:pPr>
              <w:rPr>
                <w:color w:val="000000"/>
              </w:rPr>
            </w:pPr>
            <w:r>
              <w:rPr>
                <w:rFonts w:hint="eastAsia"/>
                <w:color w:val="000000"/>
              </w:rPr>
              <w:t>属性</w:t>
            </w:r>
          </w:p>
        </w:tc>
        <w:tc>
          <w:tcPr>
            <w:tcW w:w="1980" w:type="dxa"/>
            <w:shd w:val="clear" w:color="auto" w:fill="A6A6A6"/>
          </w:tcPr>
          <w:p>
            <w:pPr>
              <w:rPr>
                <w:color w:val="000000"/>
              </w:rPr>
            </w:pPr>
            <w:r>
              <w:rPr>
                <w:rFonts w:hint="eastAsia"/>
                <w:color w:val="00000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账户类型</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10</w:t>
            </w:r>
          </w:p>
        </w:tc>
        <w:tc>
          <w:tcPr>
            <w:tcW w:w="1080" w:type="dxa"/>
          </w:tcPr>
          <w:p>
            <w:pPr>
              <w:rPr>
                <w:color w:val="000000"/>
              </w:rPr>
            </w:pPr>
            <w:r>
              <w:rPr>
                <w:rFonts w:hint="eastAsia"/>
                <w:color w:val="000000"/>
              </w:rPr>
              <w:t>Y</w:t>
            </w:r>
          </w:p>
        </w:tc>
        <w:tc>
          <w:tcPr>
            <w:tcW w:w="900" w:type="dxa"/>
          </w:tcPr>
          <w:p>
            <w:pPr>
              <w:rPr>
                <w:color w:val="000000"/>
              </w:rPr>
            </w:pPr>
            <w:r>
              <w:rPr>
                <w:rFonts w:hint="eastAsia"/>
                <w:color w:val="000000"/>
              </w:rPr>
              <w:t>下拉框</w:t>
            </w:r>
          </w:p>
        </w:tc>
        <w:tc>
          <w:tcPr>
            <w:tcW w:w="1980" w:type="dxa"/>
          </w:tcPr>
          <w:p>
            <w:pPr>
              <w:rPr>
                <w:color w:val="000000"/>
              </w:rPr>
            </w:pPr>
            <w:r>
              <w:rPr>
                <w:rFonts w:hint="eastAsia"/>
                <w:color w:val="000000"/>
              </w:rPr>
              <w:t>增加稳得利账户类型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本金金额</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NUM</w:t>
            </w:r>
          </w:p>
        </w:tc>
        <w:tc>
          <w:tcPr>
            <w:tcW w:w="900" w:type="dxa"/>
          </w:tcPr>
          <w:p>
            <w:pPr>
              <w:rPr>
                <w:color w:val="000000"/>
              </w:rPr>
            </w:pPr>
            <w:r>
              <w:rPr>
                <w:rFonts w:hint="eastAsia"/>
                <w:color w:val="000000"/>
              </w:rPr>
              <w:t>17</w:t>
            </w:r>
          </w:p>
        </w:tc>
        <w:tc>
          <w:tcPr>
            <w:tcW w:w="1080" w:type="dxa"/>
          </w:tcPr>
          <w:p>
            <w:pPr>
              <w:ind w:right="-874"/>
              <w:rPr>
                <w:color w:val="000000"/>
              </w:rPr>
            </w:pPr>
            <w:r>
              <w:rPr>
                <w:color w:val="000000"/>
              </w:rPr>
              <w:t>Y</w:t>
            </w:r>
          </w:p>
        </w:tc>
        <w:tc>
          <w:tcPr>
            <w:tcW w:w="900" w:type="dxa"/>
          </w:tcPr>
          <w:p>
            <w:pPr>
              <w:rPr>
                <w:color w:val="000000"/>
              </w:rPr>
            </w:pPr>
            <w:r>
              <w:rPr>
                <w:rFonts w:hint="eastAsia"/>
                <w:color w:val="000000"/>
              </w:rPr>
              <w:t>文本框</w:t>
            </w:r>
          </w:p>
        </w:tc>
        <w:tc>
          <w:tcPr>
            <w:tcW w:w="1980" w:type="dxa"/>
            <w:vAlign w:val="center"/>
          </w:tcPr>
          <w:p>
            <w:pPr>
              <w:rPr>
                <w:color w:val="000000"/>
              </w:rPr>
            </w:pPr>
            <w:r>
              <w:rPr>
                <w:rFonts w:hint="eastAsia"/>
                <w:color w:val="000000"/>
              </w:rPr>
              <w:t>当为稳得利账户开立时，金额不小于10000，其他账户类型处理逻辑不变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账户币种</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3</w:t>
            </w:r>
          </w:p>
        </w:tc>
        <w:tc>
          <w:tcPr>
            <w:tcW w:w="1080" w:type="dxa"/>
          </w:tcPr>
          <w:p>
            <w:pPr>
              <w:ind w:right="-874"/>
              <w:rPr>
                <w:color w:val="000000"/>
              </w:rPr>
            </w:pPr>
            <w:r>
              <w:rPr>
                <w:rFonts w:hint="eastAsia"/>
                <w:color w:val="000000"/>
              </w:rPr>
              <w:t>Y</w:t>
            </w:r>
          </w:p>
        </w:tc>
        <w:tc>
          <w:tcPr>
            <w:tcW w:w="900" w:type="dxa"/>
          </w:tcPr>
          <w:p>
            <w:pPr>
              <w:rPr>
                <w:color w:val="000000"/>
              </w:rPr>
            </w:pPr>
            <w:r>
              <w:rPr>
                <w:rFonts w:hint="eastAsia"/>
                <w:color w:val="000000"/>
              </w:rPr>
              <w:t>文本框</w:t>
            </w:r>
          </w:p>
        </w:tc>
        <w:tc>
          <w:tcPr>
            <w:tcW w:w="1980" w:type="dxa"/>
            <w:vAlign w:val="center"/>
          </w:tcPr>
          <w:p>
            <w:pPr>
              <w:rPr>
                <w:color w:val="000000"/>
              </w:rPr>
            </w:pPr>
            <w:r>
              <w:rPr>
                <w:rFonts w:hint="eastAsia"/>
                <w:color w:val="000000"/>
              </w:rPr>
              <w:t>当为稳得利账户开立时，币种默认为CNY不可修改，其他账户类型处理逻辑不变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63" w:hRule="atLeast"/>
          <w:jc w:val="center"/>
        </w:trPr>
        <w:tc>
          <w:tcPr>
            <w:tcW w:w="1418" w:type="dxa"/>
          </w:tcPr>
          <w:p>
            <w:pPr>
              <w:rPr>
                <w:color w:val="000000"/>
              </w:rPr>
            </w:pPr>
            <w:r>
              <w:rPr>
                <w:rFonts w:hint="eastAsia"/>
                <w:color w:val="000000"/>
              </w:rPr>
              <w:t>定期存期</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NUM</w:t>
            </w:r>
          </w:p>
        </w:tc>
        <w:tc>
          <w:tcPr>
            <w:tcW w:w="900" w:type="dxa"/>
          </w:tcPr>
          <w:p>
            <w:pPr>
              <w:rPr>
                <w:color w:val="000000"/>
              </w:rPr>
            </w:pPr>
            <w:r>
              <w:rPr>
                <w:rFonts w:hint="eastAsia"/>
                <w:color w:val="000000"/>
              </w:rPr>
              <w:t>3</w:t>
            </w:r>
          </w:p>
        </w:tc>
        <w:tc>
          <w:tcPr>
            <w:tcW w:w="1080" w:type="dxa"/>
          </w:tcPr>
          <w:p>
            <w:pPr>
              <w:ind w:right="-874"/>
              <w:rPr>
                <w:color w:val="000000"/>
              </w:rPr>
            </w:pPr>
            <w:r>
              <w:rPr>
                <w:rFonts w:hint="eastAsia"/>
                <w:color w:val="000000"/>
              </w:rPr>
              <w:t>Y</w:t>
            </w:r>
          </w:p>
        </w:tc>
        <w:tc>
          <w:tcPr>
            <w:tcW w:w="900" w:type="dxa"/>
          </w:tcPr>
          <w:p>
            <w:pPr>
              <w:rPr>
                <w:color w:val="000000"/>
              </w:rPr>
            </w:pPr>
            <w:r>
              <w:rPr>
                <w:rFonts w:hint="eastAsia"/>
                <w:color w:val="000000"/>
              </w:rPr>
              <w:t>文本框</w:t>
            </w:r>
          </w:p>
        </w:tc>
        <w:tc>
          <w:tcPr>
            <w:tcW w:w="1980" w:type="dxa"/>
            <w:vAlign w:val="center"/>
          </w:tcPr>
          <w:p>
            <w:pPr>
              <w:rPr>
                <w:color w:val="000000"/>
              </w:rPr>
            </w:pPr>
            <w:r>
              <w:rPr>
                <w:rFonts w:hint="eastAsia"/>
                <w:color w:val="000000"/>
              </w:rPr>
              <w:t>当为稳得利账户开立时，后台参数控制为5年，其他账户类型处理逻辑不变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存款类型</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1</w:t>
            </w:r>
          </w:p>
        </w:tc>
        <w:tc>
          <w:tcPr>
            <w:tcW w:w="1080" w:type="dxa"/>
          </w:tcPr>
          <w:p>
            <w:pPr>
              <w:ind w:right="-874"/>
              <w:rPr>
                <w:color w:val="000000"/>
              </w:rPr>
            </w:pPr>
            <w:r>
              <w:rPr>
                <w:rFonts w:hint="eastAsia"/>
                <w:color w:val="000000"/>
              </w:rPr>
              <w:t>Y</w:t>
            </w:r>
          </w:p>
        </w:tc>
        <w:tc>
          <w:tcPr>
            <w:tcW w:w="900" w:type="dxa"/>
          </w:tcPr>
          <w:p>
            <w:pPr>
              <w:rPr>
                <w:color w:val="000000"/>
              </w:rPr>
            </w:pPr>
            <w:r>
              <w:rPr>
                <w:rFonts w:hint="eastAsia"/>
                <w:color w:val="000000"/>
              </w:rPr>
              <w:t>下拉框</w:t>
            </w:r>
          </w:p>
        </w:tc>
        <w:tc>
          <w:tcPr>
            <w:tcW w:w="1980" w:type="dxa"/>
            <w:vAlign w:val="center"/>
          </w:tcPr>
          <w:p>
            <w:pPr>
              <w:rPr>
                <w:color w:val="000000"/>
              </w:rPr>
            </w:pPr>
            <w:r>
              <w:rPr>
                <w:rFonts w:hint="eastAsia"/>
                <w:color w:val="000000"/>
              </w:rPr>
              <w:t>当为稳得利账户开立时，后台参数控制为年，其他账户类型处理逻辑不变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定期协议存款</w:t>
            </w:r>
          </w:p>
        </w:tc>
        <w:tc>
          <w:tcPr>
            <w:tcW w:w="1282" w:type="dxa"/>
          </w:tcPr>
          <w:p>
            <w:pPr>
              <w:rPr>
                <w:color w:val="000000"/>
              </w:rPr>
            </w:pPr>
            <w:r>
              <w:rPr>
                <w:rFonts w:hint="eastAsia"/>
                <w:color w:val="000000"/>
              </w:rPr>
              <w:t>输入</w:t>
            </w:r>
          </w:p>
        </w:tc>
        <w:tc>
          <w:tcPr>
            <w:tcW w:w="1080" w:type="dxa"/>
          </w:tcPr>
          <w:p>
            <w:pPr>
              <w:rPr>
                <w:color w:val="000000"/>
              </w:rPr>
            </w:pPr>
          </w:p>
        </w:tc>
        <w:tc>
          <w:tcPr>
            <w:tcW w:w="900" w:type="dxa"/>
          </w:tcPr>
          <w:p>
            <w:pPr>
              <w:rPr>
                <w:color w:val="000000"/>
              </w:rPr>
            </w:pPr>
          </w:p>
        </w:tc>
        <w:tc>
          <w:tcPr>
            <w:tcW w:w="1080" w:type="dxa"/>
          </w:tcPr>
          <w:p>
            <w:pPr>
              <w:ind w:right="-874"/>
              <w:rPr>
                <w:color w:val="000000"/>
              </w:rPr>
            </w:pPr>
          </w:p>
        </w:tc>
        <w:tc>
          <w:tcPr>
            <w:tcW w:w="900" w:type="dxa"/>
          </w:tcPr>
          <w:p>
            <w:pPr>
              <w:rPr>
                <w:color w:val="000000"/>
              </w:rPr>
            </w:pPr>
            <w:r>
              <w:rPr>
                <w:rFonts w:hint="eastAsia"/>
                <w:color w:val="000000"/>
              </w:rPr>
              <w:t>复选框</w:t>
            </w:r>
          </w:p>
        </w:tc>
        <w:tc>
          <w:tcPr>
            <w:tcW w:w="1980" w:type="dxa"/>
            <w:vAlign w:val="center"/>
          </w:tcPr>
          <w:p>
            <w:pPr>
              <w:rPr>
                <w:color w:val="000000"/>
              </w:rPr>
            </w:pPr>
            <w:r>
              <w:rPr>
                <w:rFonts w:hint="eastAsia"/>
                <w:color w:val="000000"/>
              </w:rPr>
              <w:t>当为稳得利账户开立时，此按钮及定期协议存款相关信息包括</w:t>
            </w:r>
            <w:r>
              <w:rPr>
                <w:color w:val="000000"/>
              </w:rPr>
              <w:t>协议存款存期</w:t>
            </w:r>
            <w:r>
              <w:rPr>
                <w:rFonts w:hint="eastAsia"/>
                <w:color w:val="000000"/>
              </w:rPr>
              <w:t>、</w:t>
            </w:r>
            <w:r>
              <w:rPr>
                <w:color w:val="000000"/>
              </w:rPr>
              <w:t>协议存期类型</w:t>
            </w:r>
            <w:r>
              <w:rPr>
                <w:rFonts w:hint="eastAsia"/>
                <w:color w:val="000000"/>
              </w:rPr>
              <w:t>置灰不可修改，其他账户类型处理逻辑不变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color w:val="000000"/>
              </w:rPr>
              <w:t>是否自动转存</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1</w:t>
            </w:r>
          </w:p>
        </w:tc>
        <w:tc>
          <w:tcPr>
            <w:tcW w:w="1080" w:type="dxa"/>
          </w:tcPr>
          <w:p>
            <w:pPr>
              <w:ind w:right="-874"/>
              <w:rPr>
                <w:color w:val="000000"/>
              </w:rPr>
            </w:pPr>
            <w:r>
              <w:rPr>
                <w:rFonts w:hint="eastAsia"/>
                <w:color w:val="000000"/>
              </w:rPr>
              <w:t>N</w:t>
            </w:r>
          </w:p>
        </w:tc>
        <w:tc>
          <w:tcPr>
            <w:tcW w:w="900" w:type="dxa"/>
          </w:tcPr>
          <w:p>
            <w:pPr>
              <w:rPr>
                <w:color w:val="000000"/>
              </w:rPr>
            </w:pPr>
            <w:r>
              <w:rPr>
                <w:rFonts w:hint="eastAsia"/>
                <w:color w:val="000000"/>
              </w:rPr>
              <w:t>下拉框</w:t>
            </w:r>
          </w:p>
        </w:tc>
        <w:tc>
          <w:tcPr>
            <w:tcW w:w="1980" w:type="dxa"/>
            <w:vAlign w:val="center"/>
          </w:tcPr>
          <w:p>
            <w:pPr>
              <w:rPr>
                <w:color w:val="000000"/>
              </w:rPr>
            </w:pPr>
            <w:r>
              <w:rPr>
                <w:rFonts w:hint="eastAsia"/>
                <w:color w:val="000000"/>
              </w:rPr>
              <w:t>当为稳得利账户开立时，</w:t>
            </w:r>
            <w:r>
              <w:rPr>
                <w:color w:val="000000"/>
              </w:rPr>
              <w:t>是否自动转存</w:t>
            </w:r>
            <w:r>
              <w:rPr>
                <w:rFonts w:hint="eastAsia"/>
                <w:color w:val="000000"/>
              </w:rPr>
              <w:t>、</w:t>
            </w:r>
            <w:r>
              <w:rPr>
                <w:color w:val="000000"/>
              </w:rPr>
              <w:t>自动本金转存次数</w:t>
            </w:r>
            <w:r>
              <w:rPr>
                <w:rFonts w:hint="eastAsia"/>
                <w:color w:val="000000"/>
              </w:rPr>
              <w:t>、</w:t>
            </w:r>
            <w:r>
              <w:rPr>
                <w:color w:val="000000"/>
              </w:rPr>
              <w:t>自动本息转存次数</w:t>
            </w:r>
            <w:r>
              <w:rPr>
                <w:rFonts w:hint="eastAsia"/>
                <w:color w:val="000000"/>
              </w:rPr>
              <w:t>置灰不可修改，其他账户类型处理逻辑不变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rFonts w:hint="eastAsia"/>
                <w:color w:val="000000"/>
              </w:rPr>
              <w:t>卡折类型</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1</w:t>
            </w:r>
          </w:p>
        </w:tc>
        <w:tc>
          <w:tcPr>
            <w:tcW w:w="1080" w:type="dxa"/>
          </w:tcPr>
          <w:p>
            <w:pPr>
              <w:ind w:right="-874"/>
              <w:rPr>
                <w:color w:val="000000"/>
              </w:rPr>
            </w:pPr>
            <w:r>
              <w:rPr>
                <w:rFonts w:hint="eastAsia"/>
                <w:color w:val="000000"/>
              </w:rPr>
              <w:t>Y</w:t>
            </w:r>
          </w:p>
        </w:tc>
        <w:tc>
          <w:tcPr>
            <w:tcW w:w="900" w:type="dxa"/>
          </w:tcPr>
          <w:p>
            <w:pPr>
              <w:rPr>
                <w:color w:val="000000"/>
              </w:rPr>
            </w:pPr>
            <w:r>
              <w:rPr>
                <w:rFonts w:hint="eastAsia"/>
                <w:color w:val="000000"/>
              </w:rPr>
              <w:t>下拉框</w:t>
            </w:r>
          </w:p>
        </w:tc>
        <w:tc>
          <w:tcPr>
            <w:tcW w:w="1980" w:type="dxa"/>
            <w:vAlign w:val="center"/>
          </w:tcPr>
          <w:p>
            <w:pPr>
              <w:rPr>
                <w:color w:val="000000"/>
              </w:rPr>
            </w:pPr>
            <w:r>
              <w:rPr>
                <w:rFonts w:hint="eastAsia"/>
                <w:color w:val="000000"/>
              </w:rPr>
              <w:t>当为稳得利账户开立时，相关项置灰不可填写，其他账户类型开立表示自动转存账户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color w:val="000000"/>
              </w:rPr>
              <w:t>本金利息自动入账账/卡号</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50</w:t>
            </w:r>
          </w:p>
        </w:tc>
        <w:tc>
          <w:tcPr>
            <w:tcW w:w="1080" w:type="dxa"/>
          </w:tcPr>
          <w:p>
            <w:pPr>
              <w:ind w:right="-874"/>
              <w:rPr>
                <w:color w:val="000000"/>
              </w:rPr>
            </w:pPr>
            <w:r>
              <w:rPr>
                <w:rFonts w:hint="eastAsia"/>
                <w:color w:val="000000"/>
              </w:rPr>
              <w:t>Y</w:t>
            </w:r>
          </w:p>
        </w:tc>
        <w:tc>
          <w:tcPr>
            <w:tcW w:w="900" w:type="dxa"/>
          </w:tcPr>
          <w:p>
            <w:pPr>
              <w:rPr>
                <w:color w:val="000000"/>
              </w:rPr>
            </w:pPr>
          </w:p>
        </w:tc>
        <w:tc>
          <w:tcPr>
            <w:tcW w:w="1980" w:type="dxa"/>
            <w:vAlign w:val="center"/>
          </w:tcPr>
          <w:p>
            <w:pPr>
              <w:rPr>
                <w:color w:val="000000"/>
              </w:rPr>
            </w:pPr>
            <w:r>
              <w:rPr>
                <w:rFonts w:hint="eastAsia"/>
                <w:color w:val="000000"/>
              </w:rPr>
              <w:t>当为稳得利账户开立时，相关项置灰不可填写，其他账户开立时为自动转存账户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color w:val="000000"/>
              </w:rPr>
              <w:t>本金利息自动入账产品类型</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3</w:t>
            </w:r>
          </w:p>
        </w:tc>
        <w:tc>
          <w:tcPr>
            <w:tcW w:w="1080" w:type="dxa"/>
          </w:tcPr>
          <w:p>
            <w:pPr>
              <w:ind w:right="-874"/>
              <w:rPr>
                <w:color w:val="000000"/>
              </w:rPr>
            </w:pPr>
            <w:r>
              <w:rPr>
                <w:rFonts w:hint="eastAsia"/>
                <w:color w:val="000000"/>
              </w:rPr>
              <w:t>Y</w:t>
            </w:r>
          </w:p>
        </w:tc>
        <w:tc>
          <w:tcPr>
            <w:tcW w:w="900" w:type="dxa"/>
          </w:tcPr>
          <w:p>
            <w:pPr>
              <w:rPr>
                <w:color w:val="000000"/>
              </w:rPr>
            </w:pPr>
          </w:p>
        </w:tc>
        <w:tc>
          <w:tcPr>
            <w:tcW w:w="1980" w:type="dxa"/>
            <w:vAlign w:val="center"/>
          </w:tcPr>
          <w:p>
            <w:pPr>
              <w:rPr>
                <w:color w:val="000000"/>
              </w:rPr>
            </w:pPr>
            <w:r>
              <w:rPr>
                <w:rFonts w:hint="eastAsia"/>
                <w:color w:val="000000"/>
              </w:rPr>
              <w:t>当为稳得利账户开立时，相关项置灰不可填写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1418" w:type="dxa"/>
          </w:tcPr>
          <w:p>
            <w:pPr>
              <w:rPr>
                <w:color w:val="000000"/>
              </w:rPr>
            </w:pPr>
            <w:r>
              <w:rPr>
                <w:color w:val="000000"/>
              </w:rPr>
              <w:t>本金利息自动入账币种</w:t>
            </w:r>
          </w:p>
        </w:tc>
        <w:tc>
          <w:tcPr>
            <w:tcW w:w="1282" w:type="dxa"/>
          </w:tcPr>
          <w:p>
            <w:pPr>
              <w:rPr>
                <w:color w:val="000000"/>
              </w:rPr>
            </w:pPr>
            <w:r>
              <w:rPr>
                <w:rFonts w:hint="eastAsia"/>
                <w:color w:val="000000"/>
              </w:rPr>
              <w:t>输入</w:t>
            </w:r>
          </w:p>
        </w:tc>
        <w:tc>
          <w:tcPr>
            <w:tcW w:w="1080" w:type="dxa"/>
          </w:tcPr>
          <w:p>
            <w:pPr>
              <w:rPr>
                <w:color w:val="000000"/>
              </w:rPr>
            </w:pPr>
            <w:r>
              <w:rPr>
                <w:rFonts w:hint="eastAsia"/>
                <w:color w:val="000000"/>
              </w:rPr>
              <w:t>CHAR</w:t>
            </w:r>
          </w:p>
        </w:tc>
        <w:tc>
          <w:tcPr>
            <w:tcW w:w="900" w:type="dxa"/>
          </w:tcPr>
          <w:p>
            <w:pPr>
              <w:rPr>
                <w:color w:val="000000"/>
              </w:rPr>
            </w:pPr>
            <w:r>
              <w:rPr>
                <w:rFonts w:hint="eastAsia"/>
                <w:color w:val="000000"/>
              </w:rPr>
              <w:t>3</w:t>
            </w:r>
          </w:p>
        </w:tc>
        <w:tc>
          <w:tcPr>
            <w:tcW w:w="1080" w:type="dxa"/>
          </w:tcPr>
          <w:p>
            <w:pPr>
              <w:ind w:right="-874"/>
              <w:rPr>
                <w:color w:val="000000"/>
              </w:rPr>
            </w:pPr>
            <w:r>
              <w:rPr>
                <w:rFonts w:hint="eastAsia"/>
                <w:color w:val="000000"/>
              </w:rPr>
              <w:t>Y</w:t>
            </w:r>
          </w:p>
        </w:tc>
        <w:tc>
          <w:tcPr>
            <w:tcW w:w="900" w:type="dxa"/>
          </w:tcPr>
          <w:p>
            <w:pPr>
              <w:rPr>
                <w:color w:val="000000"/>
              </w:rPr>
            </w:pPr>
          </w:p>
        </w:tc>
        <w:tc>
          <w:tcPr>
            <w:tcW w:w="1980" w:type="dxa"/>
            <w:vAlign w:val="center"/>
          </w:tcPr>
          <w:p>
            <w:pPr>
              <w:rPr>
                <w:color w:val="000000"/>
              </w:rPr>
            </w:pPr>
            <w:r>
              <w:rPr>
                <w:rFonts w:hint="eastAsia"/>
                <w:color w:val="000000"/>
              </w:rPr>
              <w:t>当为稳得利账户开立时，相关项置灰不可填写</w:t>
            </w:r>
          </w:p>
        </w:tc>
      </w:tr>
    </w:tbl>
    <w:p>
      <w:pPr>
        <w:ind w:left="1005"/>
        <w:rPr>
          <w:rFonts w:ascii="Arial" w:hAnsi="Arial" w:cs="Arial"/>
          <w:color w:val="000000"/>
        </w:rPr>
      </w:pPr>
    </w:p>
    <w:p>
      <w:pPr>
        <w:ind w:left="1005"/>
        <w:rPr>
          <w:rFonts w:ascii="Arial" w:hAnsi="Arial" w:cs="Arial"/>
          <w:color w:val="000000"/>
        </w:rPr>
      </w:pPr>
    </w:p>
    <w:p>
      <w:pPr>
        <w:pStyle w:val="5"/>
        <w:tabs>
          <w:tab w:val="clear" w:pos="1146"/>
        </w:tabs>
        <w:spacing w:beforeLines="0" w:afterLines="0"/>
        <w:ind w:left="709" w:hanging="709"/>
        <w:rPr>
          <w:color w:val="000000"/>
        </w:rPr>
      </w:pPr>
      <w:bookmarkStart w:id="48" w:name="_Toc437960676"/>
      <w:r>
        <w:rPr>
          <w:rFonts w:hint="eastAsia"/>
          <w:color w:val="000000"/>
        </w:rPr>
        <w:t>交易处理</w:t>
      </w:r>
      <w:bookmarkEnd w:id="48"/>
    </w:p>
    <w:p>
      <w:pPr>
        <w:pStyle w:val="3"/>
        <w:numPr>
          <w:ilvl w:val="0"/>
          <w:numId w:val="15"/>
        </w:numPr>
        <w:spacing w:line="360" w:lineRule="auto"/>
        <w:ind w:firstLineChars="0"/>
        <w:rPr>
          <w:color w:val="000000"/>
        </w:rPr>
      </w:pPr>
      <w:r>
        <w:rPr>
          <w:rFonts w:hint="eastAsia"/>
          <w:color w:val="000000"/>
        </w:rPr>
        <w:t>账户类型选择“稳得利”（新增账户类型）后，帐户币种只能选择默认人民币，不允许修改；存期由系统参数控制为</w:t>
      </w:r>
      <w:r>
        <w:rPr>
          <w:rFonts w:hint="eastAsia" w:ascii="微软雅黑" w:hAnsi="微软雅黑" w:eastAsia="微软雅黑"/>
          <w:color w:val="FF0000"/>
          <w:sz w:val="24"/>
        </w:rPr>
        <w:t>半年、一年、两年、三年</w:t>
      </w:r>
      <w:r>
        <w:rPr>
          <w:rFonts w:hint="eastAsia"/>
          <w:color w:val="000000"/>
        </w:rPr>
        <w:t>，不需要在柜面代码中写死。</w:t>
      </w:r>
    </w:p>
    <w:p>
      <w:pPr>
        <w:pStyle w:val="3"/>
        <w:numPr>
          <w:ilvl w:val="0"/>
          <w:numId w:val="15"/>
        </w:numPr>
        <w:spacing w:line="360" w:lineRule="auto"/>
        <w:ind w:firstLineChars="0"/>
        <w:rPr>
          <w:color w:val="000000"/>
        </w:rPr>
      </w:pPr>
      <w:r>
        <w:rPr>
          <w:rFonts w:hint="eastAsia"/>
          <w:color w:val="000000"/>
        </w:rPr>
        <w:t>参数控制本金起存金额不小于为10000  设置该产品起存金额为10000CNY，当存入本金金额小于起存金额时，系统给出明确提示： [301977]本金金额小于规定的最小金额。</w:t>
      </w:r>
    </w:p>
    <w:p>
      <w:pPr>
        <w:pStyle w:val="3"/>
        <w:numPr>
          <w:ilvl w:val="0"/>
          <w:numId w:val="15"/>
        </w:numPr>
        <w:spacing w:line="360" w:lineRule="auto"/>
        <w:ind w:firstLineChars="0"/>
        <w:rPr>
          <w:color w:val="000000"/>
        </w:rPr>
      </w:pPr>
      <w:r>
        <w:rPr>
          <w:rFonts w:hint="eastAsia"/>
          <w:color w:val="000000"/>
        </w:rPr>
        <w:t>贷方利息资本话标记选择“是”，</w:t>
      </w:r>
      <w:r>
        <w:rPr>
          <w:rFonts w:hint="eastAsia"/>
        </w:rPr>
        <w:t xml:space="preserve"> </w:t>
      </w:r>
      <w:r>
        <w:rPr>
          <w:rFonts w:hint="eastAsia"/>
          <w:color w:val="000000"/>
        </w:rPr>
        <w:t>根据客户需求选择相应的结息方式。</w:t>
      </w:r>
    </w:p>
    <w:p>
      <w:pPr>
        <w:pStyle w:val="3"/>
        <w:numPr>
          <w:ilvl w:val="0"/>
          <w:numId w:val="15"/>
        </w:numPr>
        <w:spacing w:line="360" w:lineRule="auto"/>
        <w:ind w:firstLineChars="0"/>
        <w:rPr>
          <w:color w:val="000000"/>
        </w:rPr>
      </w:pPr>
      <w:r>
        <w:rPr>
          <w:rFonts w:hint="eastAsia"/>
          <w:color w:val="000000"/>
        </w:rPr>
        <w:t>第三方账/卡号（收益账户）是同一客户在同一机构下的存折或主卡同一客户本行的存折或者卡。</w:t>
      </w:r>
    </w:p>
    <w:p>
      <w:pPr>
        <w:pStyle w:val="3"/>
        <w:numPr>
          <w:ilvl w:val="0"/>
          <w:numId w:val="15"/>
        </w:numPr>
        <w:spacing w:line="360" w:lineRule="auto"/>
        <w:ind w:firstLineChars="0"/>
        <w:rPr>
          <w:color w:val="000000"/>
        </w:rPr>
      </w:pPr>
      <w:r>
        <w:rPr>
          <w:rFonts w:hint="eastAsia"/>
          <w:color w:val="000000"/>
        </w:rPr>
        <w:t>新增利率类型，其他相关表中设置利率其它信息，利息类型和设置的稳得利产品关联，在柜面开立存单时，自动由稳得利产品带出其利率相关信息；浮动利率不做修改，若输入浮动利率，提示“该产品类型不能浮动”</w:t>
      </w:r>
    </w:p>
    <w:p>
      <w:pPr>
        <w:pStyle w:val="3"/>
        <w:numPr>
          <w:ilvl w:val="0"/>
          <w:numId w:val="15"/>
        </w:numPr>
        <w:spacing w:line="360" w:lineRule="auto"/>
        <w:ind w:firstLineChars="0"/>
        <w:rPr>
          <w:color w:val="000000"/>
        </w:rPr>
      </w:pPr>
      <w:r>
        <w:rPr>
          <w:rFonts w:hint="eastAsia"/>
          <w:color w:val="000000"/>
        </w:rPr>
        <w:t>稳得利结息频率不在产品级和稳得利产品关联，由柜员在柜面存单开立界面根据和客户签订的协议/合同输入，结息频率在存单开立界面可选择为按月（M1-不顺延</w:t>
      </w:r>
    </w:p>
    <w:p>
      <w:pPr>
        <w:pStyle w:val="3"/>
        <w:spacing w:line="360" w:lineRule="auto"/>
        <w:ind w:left="1005" w:firstLine="0" w:firstLineChars="0"/>
        <w:rPr>
          <w:color w:val="000000"/>
        </w:rPr>
      </w:pPr>
      <w:r>
        <w:rPr>
          <w:rFonts w:hint="eastAsia"/>
          <w:color w:val="000000"/>
        </w:rPr>
        <w:t>）、按季（M3-不顺延和按年（Y1-不顺延）。当结息日是小月对大月时，按照对年对月对日结息，如下一结息日是2015年1月27日，结息频率为M1，结息日是27日，则第二次结息日就是2015年2月27日；当结息日是大月对小月时，则按照月末对月末处理，如下一结息日是2015年1月31日，结息频率为M1，结息日是31日，则第二次结息日就是2015年2月28日，第三次结息日就是2015年3月31日；当大月不是月末，小月无该日时也按照月末做结息处理，次月依旧按照日对日末处理，如，下一结息日是2015年1月30日，结息频率为M1，结息日是30日，则第二次结息日就是2015年2月28日，第三次结息日就是2015年3月30日。</w:t>
      </w:r>
    </w:p>
    <w:p>
      <w:pPr>
        <w:pStyle w:val="3"/>
        <w:numPr>
          <w:ilvl w:val="0"/>
          <w:numId w:val="15"/>
        </w:numPr>
        <w:spacing w:line="360" w:lineRule="auto"/>
        <w:ind w:firstLineChars="0"/>
        <w:rPr>
          <w:color w:val="000000"/>
        </w:rPr>
      </w:pPr>
      <w:r>
        <w:rPr>
          <w:rFonts w:hint="eastAsia"/>
          <w:color w:val="000000"/>
        </w:rPr>
        <w:t>不可设置自动转存，自动转存相关信息置灰，不可选。</w:t>
      </w:r>
    </w:p>
    <w:p>
      <w:pPr>
        <w:pStyle w:val="3"/>
        <w:numPr>
          <w:ilvl w:val="0"/>
          <w:numId w:val="15"/>
        </w:numPr>
        <w:spacing w:line="360" w:lineRule="auto"/>
        <w:ind w:firstLineChars="0"/>
        <w:rPr>
          <w:color w:val="000000"/>
        </w:rPr>
      </w:pPr>
      <w:r>
        <w:rPr>
          <w:rFonts w:hint="eastAsia"/>
          <w:color w:val="000000"/>
        </w:rPr>
        <w:t>对于稳得利产品，贷方利息页签的【第三方账/卡号】在稳得利到期后不能自动入账本金，只能按照结息频率在入账日按照稳得利的利率由系统自动存入利息，且该账户必须是稳得利客户的活期结算账户。</w:t>
      </w:r>
    </w:p>
    <w:p>
      <w:pPr>
        <w:pStyle w:val="5"/>
        <w:tabs>
          <w:tab w:val="clear" w:pos="1146"/>
        </w:tabs>
        <w:spacing w:beforeLines="0" w:afterLines="0"/>
        <w:ind w:left="709" w:hanging="709"/>
        <w:rPr>
          <w:color w:val="000000"/>
        </w:rPr>
      </w:pPr>
      <w:bookmarkStart w:id="49" w:name="_Toc437960677"/>
      <w:r>
        <w:rPr>
          <w:rFonts w:hint="eastAsia"/>
          <w:color w:val="000000"/>
        </w:rPr>
        <w:t>会计分录</w:t>
      </w:r>
      <w:bookmarkEnd w:id="49"/>
    </w:p>
    <w:p>
      <w:pPr>
        <w:pStyle w:val="107"/>
        <w:ind w:firstLine="735" w:firstLineChars="350"/>
        <w:rPr>
          <w:color w:val="000000"/>
          <w:sz w:val="21"/>
          <w:szCs w:val="21"/>
          <w:lang w:val="en-US"/>
        </w:rPr>
      </w:pPr>
      <w:r>
        <w:rPr>
          <w:rFonts w:hint="eastAsia"/>
          <w:color w:val="000000"/>
          <w:sz w:val="21"/>
          <w:szCs w:val="21"/>
          <w:lang w:val="en-US"/>
        </w:rPr>
        <w:t>现金开户</w:t>
      </w:r>
    </w:p>
    <w:p>
      <w:pPr>
        <w:pStyle w:val="107"/>
        <w:ind w:firstLine="735" w:firstLineChars="350"/>
        <w:rPr>
          <w:color w:val="000000"/>
          <w:sz w:val="21"/>
          <w:szCs w:val="21"/>
          <w:lang w:val="en-US"/>
        </w:rPr>
      </w:pPr>
      <w:r>
        <w:rPr>
          <w:rFonts w:hint="eastAsia"/>
          <w:color w:val="000000"/>
          <w:sz w:val="21"/>
          <w:szCs w:val="21"/>
          <w:lang w:val="en-US"/>
        </w:rPr>
        <w:t xml:space="preserve"> 借：现金</w:t>
      </w:r>
    </w:p>
    <w:p>
      <w:pPr>
        <w:pStyle w:val="107"/>
        <w:ind w:firstLine="735" w:firstLineChars="350"/>
        <w:rPr>
          <w:color w:val="000000"/>
          <w:sz w:val="21"/>
          <w:szCs w:val="21"/>
          <w:lang w:val="en-US"/>
        </w:rPr>
      </w:pPr>
      <w:r>
        <w:rPr>
          <w:rFonts w:hint="eastAsia"/>
          <w:color w:val="000000"/>
          <w:sz w:val="21"/>
          <w:szCs w:val="21"/>
          <w:lang w:val="en-US"/>
        </w:rPr>
        <w:t xml:space="preserve">  贷：稳得利账户</w:t>
      </w:r>
    </w:p>
    <w:p>
      <w:pPr>
        <w:pStyle w:val="107"/>
        <w:ind w:firstLine="735" w:firstLineChars="350"/>
        <w:rPr>
          <w:color w:val="000000"/>
          <w:sz w:val="21"/>
          <w:szCs w:val="21"/>
          <w:lang w:val="en-US"/>
        </w:rPr>
      </w:pPr>
      <w:r>
        <w:rPr>
          <w:rFonts w:hint="eastAsia"/>
          <w:color w:val="000000"/>
          <w:sz w:val="21"/>
          <w:szCs w:val="21"/>
          <w:lang w:val="en-US"/>
        </w:rPr>
        <w:t>转账开户</w:t>
      </w:r>
    </w:p>
    <w:p>
      <w:pPr>
        <w:pStyle w:val="107"/>
        <w:ind w:firstLine="735" w:firstLineChars="350"/>
        <w:rPr>
          <w:color w:val="000000"/>
          <w:sz w:val="21"/>
          <w:szCs w:val="21"/>
          <w:lang w:val="en-US"/>
        </w:rPr>
      </w:pPr>
      <w:r>
        <w:rPr>
          <w:rFonts w:hint="eastAsia"/>
          <w:color w:val="000000"/>
          <w:sz w:val="21"/>
          <w:szCs w:val="21"/>
          <w:lang w:val="en-US"/>
        </w:rPr>
        <w:t xml:space="preserve">  借：活期账户</w:t>
      </w:r>
    </w:p>
    <w:p>
      <w:pPr>
        <w:pStyle w:val="107"/>
        <w:ind w:firstLine="0" w:firstLineChars="0"/>
        <w:rPr>
          <w:color w:val="000000"/>
          <w:sz w:val="21"/>
          <w:szCs w:val="21"/>
          <w:lang w:val="en-US"/>
        </w:rPr>
      </w:pPr>
      <w:r>
        <w:rPr>
          <w:rFonts w:hint="eastAsia"/>
          <w:color w:val="000000"/>
          <w:sz w:val="21"/>
          <w:szCs w:val="21"/>
          <w:lang w:val="en-US"/>
        </w:rPr>
        <w:t xml:space="preserve">    </w:t>
      </w: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贷：稳得利账户</w:t>
      </w:r>
    </w:p>
    <w:p>
      <w:pPr>
        <w:pStyle w:val="5"/>
        <w:tabs>
          <w:tab w:val="clear" w:pos="1146"/>
        </w:tabs>
        <w:spacing w:beforeLines="0" w:afterLines="0"/>
        <w:ind w:left="709" w:hanging="709"/>
        <w:rPr>
          <w:color w:val="000000"/>
        </w:rPr>
      </w:pPr>
      <w:bookmarkStart w:id="50" w:name="_Toc437960678"/>
      <w:r>
        <w:rPr>
          <w:rFonts w:hint="eastAsia"/>
          <w:color w:val="000000"/>
        </w:rPr>
        <w:t>打印格式</w:t>
      </w:r>
      <w:bookmarkEnd w:id="50"/>
    </w:p>
    <w:p>
      <w:pPr>
        <w:spacing w:line="360" w:lineRule="auto"/>
        <w:ind w:firstLine="735" w:firstLineChars="350"/>
        <w:rPr>
          <w:color w:val="000000"/>
        </w:rPr>
      </w:pPr>
      <w:r>
        <w:rPr>
          <w:rFonts w:hint="eastAsia"/>
          <w:color w:val="000000"/>
        </w:rPr>
        <w:t>保持现状</w:t>
      </w:r>
    </w:p>
    <w:p>
      <w:pPr>
        <w:pStyle w:val="4"/>
        <w:tabs>
          <w:tab w:val="clear" w:pos="576"/>
        </w:tabs>
        <w:spacing w:beforeLines="0" w:afterLines="0"/>
        <w:rPr>
          <w:color w:val="000000"/>
        </w:rPr>
      </w:pPr>
      <w:bookmarkStart w:id="51" w:name="_Toc437960679"/>
      <w:r>
        <w:rPr>
          <w:rFonts w:hint="eastAsia"/>
          <w:color w:val="000000"/>
        </w:rPr>
        <w:t>稳得利账户维护</w:t>
      </w:r>
      <w:bookmarkEnd w:id="51"/>
    </w:p>
    <w:p>
      <w:pPr>
        <w:pStyle w:val="5"/>
        <w:tabs>
          <w:tab w:val="clear" w:pos="1146"/>
        </w:tabs>
        <w:spacing w:beforeLines="0" w:afterLines="0"/>
        <w:ind w:left="709" w:hanging="709"/>
        <w:rPr>
          <w:color w:val="000000"/>
        </w:rPr>
      </w:pPr>
      <w:bookmarkStart w:id="52" w:name="_Toc437960680"/>
      <w:r>
        <w:rPr>
          <w:rFonts w:hint="eastAsia"/>
          <w:color w:val="000000"/>
        </w:rPr>
        <w:t>需求编号</w:t>
      </w:r>
      <w:bookmarkEnd w:id="52"/>
    </w:p>
    <w:p>
      <w:pPr>
        <w:pStyle w:val="5"/>
        <w:tabs>
          <w:tab w:val="clear" w:pos="1146"/>
        </w:tabs>
        <w:spacing w:beforeLines="0" w:afterLines="0"/>
        <w:ind w:left="709" w:hanging="709"/>
        <w:rPr>
          <w:color w:val="000000"/>
        </w:rPr>
      </w:pPr>
      <w:bookmarkStart w:id="53" w:name="_Toc437960681"/>
      <w:r>
        <w:rPr>
          <w:rFonts w:hint="eastAsia"/>
          <w:color w:val="000000"/>
        </w:rPr>
        <w:t>功能描述</w:t>
      </w:r>
      <w:bookmarkEnd w:id="53"/>
    </w:p>
    <w:p>
      <w:pPr>
        <w:pStyle w:val="56"/>
        <w:rPr>
          <w:i w:val="0"/>
          <w:color w:val="000000"/>
        </w:rPr>
      </w:pPr>
      <w:r>
        <w:rPr>
          <w:rFonts w:hint="eastAsia"/>
          <w:i w:val="0"/>
          <w:color w:val="000000"/>
        </w:rPr>
        <w:t>在定期存单维护交易现有功能的基础上，增加变更收益账户、定期存单质押的功能。</w:t>
      </w:r>
    </w:p>
    <w:p>
      <w:pPr>
        <w:pStyle w:val="5"/>
        <w:tabs>
          <w:tab w:val="clear" w:pos="1146"/>
        </w:tabs>
        <w:spacing w:beforeLines="0" w:afterLines="0"/>
        <w:ind w:left="709" w:hanging="709"/>
        <w:rPr>
          <w:color w:val="000000"/>
        </w:rPr>
      </w:pPr>
      <w:bookmarkStart w:id="54" w:name="_Toc437960682"/>
      <w:r>
        <w:rPr>
          <w:rFonts w:hint="eastAsia"/>
          <w:color w:val="000000"/>
        </w:rPr>
        <w:t>菜单</w:t>
      </w:r>
      <w:bookmarkEnd w:id="54"/>
    </w:p>
    <w:p>
      <w:pPr>
        <w:pStyle w:val="3"/>
        <w:rPr>
          <w:color w:val="000000"/>
        </w:rPr>
      </w:pPr>
      <w:r>
        <w:rPr>
          <w:rFonts w:hint="eastAsia"/>
          <w:color w:val="000000"/>
        </w:rPr>
        <w:t>存款</w:t>
      </w:r>
    </w:p>
    <w:p>
      <w:pPr>
        <w:pStyle w:val="3"/>
        <w:rPr>
          <w:color w:val="000000"/>
        </w:rPr>
      </w:pPr>
      <w:r>
        <w:rPr>
          <w:rFonts w:hint="eastAsia"/>
          <w:color w:val="000000"/>
        </w:rPr>
        <w:tab/>
      </w:r>
      <w:r>
        <w:rPr>
          <w:rFonts w:hint="eastAsia"/>
          <w:color w:val="000000"/>
        </w:rPr>
        <w:t>定期</w:t>
      </w:r>
    </w:p>
    <w:p>
      <w:pPr>
        <w:pStyle w:val="3"/>
        <w:rPr>
          <w:color w:val="000000"/>
        </w:rPr>
      </w:pPr>
      <w:r>
        <w:rPr>
          <w:rFonts w:hint="eastAsia"/>
          <w:color w:val="000000"/>
        </w:rPr>
        <w:tab/>
      </w:r>
      <w:r>
        <w:rPr>
          <w:rFonts w:hint="eastAsia"/>
          <w:color w:val="000000"/>
        </w:rPr>
        <w:tab/>
      </w:r>
      <w:r>
        <w:rPr>
          <w:rFonts w:hint="eastAsia"/>
          <w:color w:val="000000"/>
        </w:rPr>
        <w:t>定期存单维护</w:t>
      </w:r>
    </w:p>
    <w:p>
      <w:pPr>
        <w:pStyle w:val="5"/>
        <w:tabs>
          <w:tab w:val="clear" w:pos="1146"/>
        </w:tabs>
        <w:spacing w:beforeLines="0" w:afterLines="0"/>
        <w:ind w:left="709" w:hanging="709"/>
        <w:rPr>
          <w:color w:val="000000"/>
        </w:rPr>
      </w:pPr>
      <w:bookmarkStart w:id="55" w:name="_Toc437960683"/>
      <w:r>
        <w:rPr>
          <w:rFonts w:hint="eastAsia"/>
          <w:color w:val="000000"/>
        </w:rPr>
        <w:t>输入输出</w:t>
      </w:r>
      <w:bookmarkEnd w:id="55"/>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jc w:val="center"/>
        <w:rPr>
          <w:rFonts w:ascii="Arial" w:hAnsi="Arial" w:cs="Arial"/>
          <w:color w:val="000000"/>
        </w:rPr>
      </w:pPr>
      <w:r>
        <w:rPr>
          <w:rFonts w:ascii="Arial" w:hAnsi="Arial" w:cs="Arial"/>
          <w:color w:val="000000"/>
        </w:rPr>
        <w:drawing>
          <wp:inline distT="0" distB="0" distL="0" distR="0">
            <wp:extent cx="4857750" cy="2918460"/>
            <wp:effectExtent l="19050" t="0" r="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a:picLocks noChangeAspect="1" noChangeArrowheads="1"/>
                    </pic:cNvPicPr>
                  </pic:nvPicPr>
                  <pic:blipFill>
                    <a:blip r:embed="rId22"/>
                    <a:srcRect/>
                    <a:stretch>
                      <a:fillRect/>
                    </a:stretch>
                  </pic:blipFill>
                  <pic:spPr>
                    <a:xfrm>
                      <a:off x="0" y="0"/>
                      <a:ext cx="4863077" cy="2922283"/>
                    </a:xfrm>
                    <a:prstGeom prst="rect">
                      <a:avLst/>
                    </a:prstGeom>
                    <a:noFill/>
                    <a:ln w="9525">
                      <a:noFill/>
                      <a:miter lim="800000"/>
                      <a:headEnd/>
                      <a:tailEnd/>
                    </a:ln>
                  </pic:spPr>
                </pic:pic>
              </a:graphicData>
            </a:graphic>
          </wp:inline>
        </w:drawing>
      </w:r>
    </w:p>
    <w:p>
      <w:pPr>
        <w:pStyle w:val="5"/>
        <w:tabs>
          <w:tab w:val="clear" w:pos="1146"/>
        </w:tabs>
        <w:spacing w:beforeLines="0" w:afterLines="0"/>
        <w:ind w:left="709" w:hanging="709"/>
        <w:rPr>
          <w:color w:val="000000"/>
        </w:rPr>
      </w:pPr>
      <w:bookmarkStart w:id="56" w:name="_Toc437960684"/>
      <w:r>
        <w:rPr>
          <w:rFonts w:hint="eastAsia"/>
          <w:color w:val="000000"/>
        </w:rPr>
        <w:t>会计分录</w:t>
      </w:r>
      <w:bookmarkEnd w:id="56"/>
    </w:p>
    <w:p>
      <w:pPr>
        <w:pStyle w:val="107"/>
        <w:ind w:firstLine="735" w:firstLineChars="350"/>
        <w:rPr>
          <w:color w:val="000000"/>
          <w:lang w:val="en-US"/>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57" w:name="_Toc437960685"/>
      <w:r>
        <w:rPr>
          <w:rFonts w:hint="eastAsia"/>
          <w:color w:val="000000"/>
        </w:rPr>
        <w:t>打印格式</w:t>
      </w:r>
      <w:bookmarkEnd w:id="57"/>
    </w:p>
    <w:p>
      <w:pPr>
        <w:spacing w:line="360" w:lineRule="auto"/>
        <w:ind w:firstLine="735" w:firstLineChars="350"/>
        <w:rPr>
          <w:color w:val="000000"/>
        </w:rPr>
      </w:pPr>
      <w:r>
        <w:rPr>
          <w:rFonts w:hint="eastAsia"/>
          <w:color w:val="000000"/>
        </w:rPr>
        <w:t>保持现状</w:t>
      </w:r>
    </w:p>
    <w:p>
      <w:pPr>
        <w:pStyle w:val="4"/>
        <w:tabs>
          <w:tab w:val="clear" w:pos="576"/>
        </w:tabs>
        <w:spacing w:beforeLines="0" w:afterLines="0"/>
        <w:rPr>
          <w:color w:val="000000"/>
        </w:rPr>
      </w:pPr>
      <w:bookmarkStart w:id="58" w:name="_Toc437960686"/>
      <w:r>
        <w:rPr>
          <w:rFonts w:hint="eastAsia"/>
          <w:color w:val="000000"/>
        </w:rPr>
        <w:t>稳得利到期/提前支取</w:t>
      </w:r>
      <w:bookmarkEnd w:id="58"/>
    </w:p>
    <w:p>
      <w:pPr>
        <w:pStyle w:val="5"/>
        <w:tabs>
          <w:tab w:val="clear" w:pos="1146"/>
        </w:tabs>
        <w:spacing w:beforeLines="0" w:afterLines="0"/>
        <w:ind w:left="709" w:hanging="709"/>
        <w:rPr>
          <w:color w:val="000000"/>
        </w:rPr>
      </w:pPr>
      <w:bookmarkStart w:id="59" w:name="_Toc437960687"/>
      <w:r>
        <w:rPr>
          <w:rFonts w:hint="eastAsia"/>
          <w:color w:val="000000"/>
        </w:rPr>
        <w:t>需求编号</w:t>
      </w:r>
      <w:bookmarkEnd w:id="59"/>
    </w:p>
    <w:p>
      <w:pPr>
        <w:pStyle w:val="5"/>
        <w:tabs>
          <w:tab w:val="clear" w:pos="1146"/>
        </w:tabs>
        <w:spacing w:beforeLines="0" w:afterLines="0"/>
        <w:ind w:left="709" w:hanging="709"/>
        <w:rPr>
          <w:color w:val="000000"/>
        </w:rPr>
      </w:pPr>
      <w:bookmarkStart w:id="60" w:name="_Toc437960688"/>
      <w:r>
        <w:rPr>
          <w:rFonts w:hint="eastAsia"/>
          <w:color w:val="000000"/>
        </w:rPr>
        <w:t>功能描述</w:t>
      </w:r>
      <w:bookmarkEnd w:id="60"/>
    </w:p>
    <w:p>
      <w:pPr>
        <w:pStyle w:val="3"/>
        <w:rPr>
          <w:color w:val="000000"/>
        </w:rPr>
      </w:pPr>
      <w:r>
        <w:rPr>
          <w:rFonts w:hint="eastAsia" w:ascii="宋体" w:hAnsi="宋体"/>
          <w:color w:val="000000"/>
        </w:rPr>
        <w:t>到期支取/提前支取交易，可以完成普通存单的提前（部分或全部）支取、到期支取和逾期支取。</w:t>
      </w:r>
      <w:r>
        <w:rPr>
          <w:rFonts w:hint="eastAsia"/>
          <w:szCs w:val="21"/>
        </w:rPr>
        <w:t>该界面的支取方式及利息金额计算方式不能满足“稳得利”存</w:t>
      </w:r>
      <w:r>
        <w:rPr>
          <w:rFonts w:hint="eastAsia"/>
          <w:color w:val="000000"/>
          <w:szCs w:val="21"/>
        </w:rPr>
        <w:t>单的支取（销户），需要对该交易进行改造，增加对提前支取、到期支取和逾期支取的处理。</w:t>
      </w:r>
    </w:p>
    <w:p>
      <w:pPr>
        <w:pStyle w:val="5"/>
        <w:tabs>
          <w:tab w:val="clear" w:pos="1146"/>
        </w:tabs>
        <w:spacing w:beforeLines="0" w:afterLines="0"/>
        <w:ind w:left="709" w:hanging="709"/>
        <w:rPr>
          <w:color w:val="000000"/>
        </w:rPr>
      </w:pPr>
      <w:bookmarkStart w:id="61" w:name="_Toc437960689"/>
      <w:r>
        <w:rPr>
          <w:rFonts w:hint="eastAsia"/>
          <w:color w:val="000000"/>
        </w:rPr>
        <w:t>菜单</w:t>
      </w:r>
      <w:bookmarkEnd w:id="61"/>
    </w:p>
    <w:p>
      <w:pPr>
        <w:pStyle w:val="3"/>
        <w:rPr>
          <w:color w:val="000000"/>
        </w:rPr>
      </w:pPr>
      <w:r>
        <w:rPr>
          <w:rFonts w:hint="eastAsia"/>
          <w:color w:val="000000"/>
        </w:rPr>
        <w:t>存款</w:t>
      </w:r>
    </w:p>
    <w:p>
      <w:pPr>
        <w:pStyle w:val="3"/>
        <w:rPr>
          <w:color w:val="000000"/>
        </w:rPr>
      </w:pPr>
      <w:r>
        <w:rPr>
          <w:rFonts w:hint="eastAsia"/>
          <w:color w:val="000000"/>
        </w:rPr>
        <w:tab/>
      </w:r>
      <w:r>
        <w:rPr>
          <w:rFonts w:hint="eastAsia"/>
          <w:color w:val="000000"/>
        </w:rPr>
        <w:t>定期</w:t>
      </w:r>
    </w:p>
    <w:p>
      <w:pPr>
        <w:pStyle w:val="3"/>
        <w:rPr>
          <w:color w:val="000000"/>
        </w:rPr>
      </w:pPr>
      <w:r>
        <w:rPr>
          <w:rFonts w:hint="eastAsia"/>
          <w:color w:val="000000"/>
        </w:rPr>
        <w:tab/>
      </w:r>
      <w:r>
        <w:rPr>
          <w:rFonts w:hint="eastAsia"/>
          <w:color w:val="000000"/>
        </w:rPr>
        <w:tab/>
      </w:r>
      <w:r>
        <w:rPr>
          <w:rFonts w:hint="eastAsia"/>
          <w:color w:val="000000"/>
        </w:rPr>
        <w:t>到期/提前支取</w:t>
      </w:r>
    </w:p>
    <w:p>
      <w:pPr>
        <w:pStyle w:val="3"/>
        <w:rPr>
          <w:color w:val="000000"/>
        </w:rPr>
      </w:pPr>
      <w:r>
        <w:rPr>
          <w:rFonts w:hint="eastAsia"/>
          <w:color w:val="000000"/>
        </w:rPr>
        <w:t xml:space="preserve">          </w:t>
      </w:r>
    </w:p>
    <w:p>
      <w:pPr>
        <w:pStyle w:val="5"/>
        <w:tabs>
          <w:tab w:val="clear" w:pos="1146"/>
        </w:tabs>
        <w:spacing w:beforeLines="0" w:afterLines="0"/>
        <w:ind w:left="709" w:hanging="709"/>
        <w:rPr>
          <w:color w:val="000000"/>
        </w:rPr>
      </w:pPr>
      <w:bookmarkStart w:id="62" w:name="_Toc437960690"/>
      <w:r>
        <w:rPr>
          <w:rFonts w:hint="eastAsia"/>
          <w:color w:val="000000"/>
        </w:rPr>
        <w:t>输入输出</w:t>
      </w:r>
      <w:bookmarkEnd w:id="62"/>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numPr>
          <w:ilvl w:val="0"/>
          <w:numId w:val="16"/>
        </w:numPr>
        <w:rPr>
          <w:rFonts w:ascii="Arial" w:hAnsi="Arial" w:cs="Arial"/>
          <w:color w:val="000000"/>
        </w:rPr>
      </w:pPr>
      <w:r>
        <w:rPr>
          <w:rFonts w:hint="eastAsia" w:ascii="Arial" w:hAnsi="Arial" w:cs="Arial"/>
          <w:color w:val="000000"/>
        </w:rPr>
        <w:t>主交易界面</w:t>
      </w:r>
    </w:p>
    <w:p>
      <w:pPr>
        <w:rPr>
          <w:color w:val="000000"/>
        </w:rPr>
      </w:pPr>
      <w:r>
        <w:rPr>
          <w:rFonts w:hint="eastAsia"/>
          <w:color w:val="000000"/>
        </w:rPr>
        <w:drawing>
          <wp:inline distT="0" distB="0" distL="0" distR="0">
            <wp:extent cx="5753735" cy="3588385"/>
            <wp:effectExtent l="1905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noChangeArrowheads="1"/>
                    </pic:cNvPicPr>
                  </pic:nvPicPr>
                  <pic:blipFill>
                    <a:blip r:embed="rId23"/>
                    <a:srcRect/>
                    <a:stretch>
                      <a:fillRect/>
                    </a:stretch>
                  </pic:blipFill>
                  <pic:spPr>
                    <a:xfrm>
                      <a:off x="0" y="0"/>
                      <a:ext cx="5753735" cy="3588385"/>
                    </a:xfrm>
                    <a:prstGeom prst="rect">
                      <a:avLst/>
                    </a:prstGeom>
                    <a:noFill/>
                    <a:ln w="9525">
                      <a:noFill/>
                      <a:miter lim="800000"/>
                      <a:headEnd/>
                      <a:tailEnd/>
                    </a:ln>
                  </pic:spPr>
                </pic:pic>
              </a:graphicData>
            </a:graphic>
          </wp:inline>
        </w:drawing>
      </w:r>
    </w:p>
    <w:p>
      <w:pPr>
        <w:rPr>
          <w:rFonts w:ascii="Arial" w:hAnsi="Arial" w:cs="Arial"/>
          <w:color w:val="000000"/>
        </w:rPr>
      </w:pPr>
      <w:r>
        <w:rPr>
          <w:rFonts w:hint="eastAsia"/>
          <w:color w:val="000000"/>
        </w:rPr>
        <w:drawing>
          <wp:inline distT="0" distB="0" distL="0" distR="0">
            <wp:extent cx="5753735" cy="1268095"/>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24"/>
                    <a:srcRect/>
                    <a:stretch>
                      <a:fillRect/>
                    </a:stretch>
                  </pic:blipFill>
                  <pic:spPr>
                    <a:xfrm>
                      <a:off x="0" y="0"/>
                      <a:ext cx="5753735" cy="1268095"/>
                    </a:xfrm>
                    <a:prstGeom prst="rect">
                      <a:avLst/>
                    </a:prstGeom>
                    <a:noFill/>
                    <a:ln w="9525">
                      <a:noFill/>
                      <a:miter lim="800000"/>
                      <a:headEnd/>
                      <a:tailEnd/>
                    </a:ln>
                  </pic:spPr>
                </pic:pic>
              </a:graphicData>
            </a:graphic>
          </wp:inline>
        </w:drawing>
      </w:r>
    </w:p>
    <w:p>
      <w:pPr>
        <w:numPr>
          <w:ilvl w:val="0"/>
          <w:numId w:val="16"/>
        </w:numPr>
        <w:rPr>
          <w:rFonts w:ascii="Arial" w:hAnsi="Arial" w:cs="Arial"/>
          <w:color w:val="000000"/>
        </w:rPr>
      </w:pPr>
      <w:r>
        <w:rPr>
          <w:rFonts w:hint="eastAsia" w:ascii="Arial" w:hAnsi="Arial" w:cs="Arial"/>
          <w:color w:val="000000"/>
        </w:rPr>
        <w:t>定期支付明细页签</w:t>
      </w:r>
    </w:p>
    <w:p>
      <w:pPr>
        <w:jc w:val="center"/>
        <w:rPr>
          <w:rFonts w:ascii="Arial" w:hAnsi="Arial" w:cs="Arial"/>
          <w:color w:val="000000"/>
        </w:rPr>
      </w:pPr>
      <w:r>
        <w:rPr>
          <w:rFonts w:ascii="Arial" w:hAnsi="Arial" w:cs="Arial"/>
          <w:color w:val="000000"/>
        </w:rPr>
        <w:drawing>
          <wp:inline distT="0" distB="0" distL="0" distR="0">
            <wp:extent cx="4657725" cy="2525395"/>
            <wp:effectExtent l="19050" t="0" r="9525"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noChangeArrowheads="1"/>
                    </pic:cNvPicPr>
                  </pic:nvPicPr>
                  <pic:blipFill>
                    <a:blip r:embed="rId25"/>
                    <a:srcRect/>
                    <a:stretch>
                      <a:fillRect/>
                    </a:stretch>
                  </pic:blipFill>
                  <pic:spPr>
                    <a:xfrm>
                      <a:off x="0" y="0"/>
                      <a:ext cx="4664517" cy="2529514"/>
                    </a:xfrm>
                    <a:prstGeom prst="rect">
                      <a:avLst/>
                    </a:prstGeom>
                    <a:noFill/>
                    <a:ln w="9525">
                      <a:noFill/>
                      <a:miter lim="800000"/>
                      <a:headEnd/>
                      <a:tailEnd/>
                    </a:ln>
                  </pic:spPr>
                </pic:pic>
              </a:graphicData>
            </a:graphic>
          </wp:inline>
        </w:drawing>
      </w:r>
    </w:p>
    <w:p>
      <w:pPr>
        <w:pStyle w:val="5"/>
        <w:tabs>
          <w:tab w:val="clear" w:pos="1146"/>
        </w:tabs>
        <w:spacing w:beforeLines="0" w:afterLines="0"/>
        <w:ind w:left="709" w:hanging="709"/>
        <w:rPr>
          <w:color w:val="000000"/>
        </w:rPr>
      </w:pPr>
      <w:bookmarkStart w:id="63" w:name="_Toc437960691"/>
      <w:r>
        <w:rPr>
          <w:rFonts w:hint="eastAsia"/>
          <w:color w:val="000000"/>
        </w:rPr>
        <w:t>交易处理</w:t>
      </w:r>
      <w:bookmarkEnd w:id="63"/>
    </w:p>
    <w:p>
      <w:pPr>
        <w:pStyle w:val="3"/>
        <w:numPr>
          <w:ilvl w:val="0"/>
          <w:numId w:val="17"/>
        </w:numPr>
        <w:spacing w:line="360" w:lineRule="auto"/>
        <w:ind w:firstLineChars="0"/>
        <w:rPr>
          <w:color w:val="000000"/>
        </w:rPr>
      </w:pPr>
      <w:r>
        <w:rPr>
          <w:rFonts w:hint="eastAsia"/>
          <w:color w:val="000000"/>
        </w:rPr>
        <w:t xml:space="preserve"> 稳得利账户只支持全部提前支取或到期、逾期支取，不允许部分提前支取。</w:t>
      </w:r>
    </w:p>
    <w:p>
      <w:pPr>
        <w:pStyle w:val="3"/>
        <w:numPr>
          <w:ilvl w:val="0"/>
          <w:numId w:val="17"/>
        </w:numPr>
        <w:spacing w:line="360" w:lineRule="auto"/>
        <w:ind w:left="426" w:firstLine="0" w:firstLineChars="0"/>
        <w:rPr>
          <w:color w:val="000000"/>
        </w:rPr>
      </w:pPr>
      <w:r>
        <w:rPr>
          <w:rFonts w:hint="eastAsia"/>
          <w:color w:val="000000"/>
        </w:rPr>
        <w:t xml:space="preserve"> 输入稳得利账号查询后显示账户信息，未到期的存单只能在“账户支取方式”中选择全部提前支取，已经到期或逾期的存单“账户支取方式”选择到期支取。</w:t>
      </w:r>
    </w:p>
    <w:p>
      <w:pPr>
        <w:pStyle w:val="3"/>
        <w:numPr>
          <w:ilvl w:val="0"/>
          <w:numId w:val="17"/>
        </w:numPr>
        <w:spacing w:line="360" w:lineRule="auto"/>
        <w:ind w:left="426" w:firstLine="0" w:firstLineChars="0"/>
        <w:rPr>
          <w:color w:val="000000"/>
        </w:rPr>
      </w:pPr>
      <w:r>
        <w:rPr>
          <w:rFonts w:hint="eastAsia"/>
          <w:color w:val="000000"/>
        </w:rPr>
        <w:t>选择账户支取方式后，“支取金额”自动回显存单本金金额。</w:t>
      </w:r>
    </w:p>
    <w:p>
      <w:pPr>
        <w:pStyle w:val="3"/>
        <w:numPr>
          <w:ilvl w:val="0"/>
          <w:numId w:val="17"/>
        </w:numPr>
        <w:spacing w:line="360" w:lineRule="auto"/>
        <w:ind w:left="426" w:firstLine="0" w:firstLineChars="0"/>
        <w:rPr>
          <w:color w:val="000000"/>
        </w:rPr>
      </w:pPr>
      <w:r>
        <w:rPr>
          <w:rFonts w:hint="eastAsia"/>
          <w:color w:val="000000"/>
        </w:rPr>
        <w:t>定期支付明细页签中的“总计”根据支取类型计算，总计=“稳得利”存单有效余额</w:t>
      </w:r>
    </w:p>
    <w:p>
      <w:pPr>
        <w:pStyle w:val="3"/>
        <w:spacing w:line="360" w:lineRule="auto"/>
        <w:ind w:left="840" w:firstLine="0" w:firstLineChars="0"/>
        <w:rPr>
          <w:color w:val="000000"/>
        </w:rPr>
      </w:pPr>
      <w:r>
        <w:rPr>
          <w:rFonts w:hint="eastAsia"/>
          <w:b/>
          <w:color w:val="000000"/>
        </w:rPr>
        <w:t>提前支取时（附件一）</w:t>
      </w:r>
      <w:r>
        <w:rPr>
          <w:rFonts w:hint="eastAsia"/>
          <w:color w:val="000000"/>
        </w:rPr>
        <w:t>：存单本金实际留存时间对应的存入日我行挂牌执行的存款利率靠档计息并对“稳得利”增值收益多退少补，计算出客户提前销户时的“稳得利”有效余额结算给客户：</w:t>
      </w:r>
    </w:p>
    <w:p>
      <w:pPr>
        <w:pStyle w:val="3"/>
        <w:spacing w:line="360" w:lineRule="auto"/>
        <w:ind w:left="840" w:firstLineChars="0"/>
        <w:rPr>
          <w:color w:val="000000"/>
        </w:rPr>
      </w:pPr>
      <w:r>
        <w:rPr>
          <w:rFonts w:hint="eastAsia"/>
          <w:color w:val="000000"/>
        </w:rPr>
        <w:t>（a） “稳得利”存单有效余额=“稳得利”本金+提前销户日“稳得利”本金靠档计息金额—已累计分期计付的“稳得利”增值收益；</w:t>
      </w:r>
    </w:p>
    <w:p>
      <w:pPr>
        <w:pStyle w:val="3"/>
        <w:spacing w:line="360" w:lineRule="auto"/>
        <w:ind w:left="840" w:firstLineChars="0"/>
        <w:rPr>
          <w:color w:val="000000"/>
        </w:rPr>
      </w:pPr>
      <w:r>
        <w:rPr>
          <w:rFonts w:hint="eastAsia"/>
          <w:color w:val="000000"/>
        </w:rPr>
        <w:t>（b）  已累计分期计付的“稳得利”增值收益=每期利息结转金额×已结转的期数；</w:t>
      </w:r>
    </w:p>
    <w:p>
      <w:pPr>
        <w:pStyle w:val="3"/>
        <w:spacing w:line="360" w:lineRule="auto"/>
        <w:ind w:left="840" w:firstLineChars="0"/>
        <w:rPr>
          <w:color w:val="000000"/>
        </w:rPr>
      </w:pPr>
      <w:r>
        <w:rPr>
          <w:rFonts w:hint="eastAsia"/>
          <w:color w:val="000000"/>
        </w:rPr>
        <w:t>（c）  靠档计息规则</w:t>
      </w:r>
    </w:p>
    <w:p>
      <w:pPr>
        <w:numPr>
          <w:ilvl w:val="0"/>
          <w:numId w:val="18"/>
        </w:numPr>
        <w:spacing w:line="360" w:lineRule="auto"/>
        <w:rPr>
          <w:color w:val="000000"/>
        </w:rPr>
      </w:pPr>
      <w:r>
        <w:rPr>
          <w:rFonts w:hint="eastAsia"/>
          <w:color w:val="000000"/>
        </w:rPr>
        <w:t>“稳得利”实际持有期不足30天，按活期储蓄利率计息；</w:t>
      </w:r>
    </w:p>
    <w:p>
      <w:pPr>
        <w:numPr>
          <w:ilvl w:val="0"/>
          <w:numId w:val="18"/>
        </w:numPr>
        <w:spacing w:line="360" w:lineRule="auto"/>
        <w:rPr>
          <w:color w:val="000000"/>
        </w:rPr>
      </w:pPr>
      <w:r>
        <w:rPr>
          <w:rFonts w:hint="eastAsia"/>
          <w:color w:val="000000"/>
        </w:rPr>
        <w:t>利率计息；</w:t>
      </w:r>
    </w:p>
    <w:p>
      <w:pPr>
        <w:numPr>
          <w:ilvl w:val="0"/>
          <w:numId w:val="18"/>
        </w:numPr>
        <w:spacing w:line="360" w:lineRule="auto"/>
        <w:rPr>
          <w:color w:val="000000"/>
        </w:rPr>
      </w:pPr>
      <w:r>
        <w:rPr>
          <w:rFonts w:hint="eastAsia"/>
          <w:color w:val="000000"/>
        </w:rPr>
        <w:t>“稳得利”实际持有期满3个月不足6个月，持有期前三个月按存入日3个月整存整取定期储蓄利率计息，除去三个月满七天的每天都按七天通知存款储蓄利率计息；满七天不足三个月的按1个七天通知存款储蓄利率，其余天数按照一天通知存款储蓄利率计息。例如：</w:t>
      </w:r>
    </w:p>
    <w:p>
      <w:pPr>
        <w:spacing w:line="360" w:lineRule="auto"/>
        <w:ind w:left="1680"/>
        <w:rPr>
          <w:color w:val="000000"/>
        </w:rPr>
      </w:pPr>
      <w:r>
        <w:rPr>
          <w:rFonts w:hint="eastAsia"/>
          <w:color w:val="000000"/>
        </w:rPr>
        <w:t>92天利息=1个三个月定期利息（90天）+2个一天通知存款计息（2天）</w:t>
      </w:r>
    </w:p>
    <w:p>
      <w:pPr>
        <w:spacing w:line="360" w:lineRule="auto"/>
        <w:ind w:left="1680"/>
        <w:rPr>
          <w:color w:val="000000"/>
        </w:rPr>
      </w:pPr>
      <w:r>
        <w:rPr>
          <w:rFonts w:hint="eastAsia"/>
          <w:color w:val="000000"/>
        </w:rPr>
        <w:t>107天利息=1个三个月定期利息（90天）+2个七天通知存款计息（14天）+3个一天通知存款利息（3天）</w:t>
      </w:r>
    </w:p>
    <w:p>
      <w:pPr>
        <w:spacing w:line="360" w:lineRule="auto"/>
        <w:ind w:left="1680"/>
        <w:rPr>
          <w:color w:val="000000"/>
        </w:rPr>
      </w:pPr>
      <w:r>
        <w:rPr>
          <w:rFonts w:hint="eastAsia"/>
          <w:color w:val="000000"/>
        </w:rPr>
        <w:t>718天利息=1个一年定期利息（360天）+1个六个月定期利息（180天）+1个三个月定期利息（90天）+</w:t>
      </w:r>
      <w:r>
        <w:rPr>
          <w:rFonts w:hint="eastAsia"/>
          <w:color w:val="000000"/>
          <w:highlight w:val="yellow"/>
        </w:rPr>
        <w:t>12个七天</w:t>
      </w:r>
      <w:r>
        <w:rPr>
          <w:rFonts w:hint="eastAsia"/>
          <w:color w:val="000000"/>
        </w:rPr>
        <w:t>通知存款计息（</w:t>
      </w:r>
      <w:r>
        <w:rPr>
          <w:rFonts w:hint="eastAsia"/>
          <w:color w:val="000000"/>
          <w:highlight w:val="yellow"/>
        </w:rPr>
        <w:t>84天</w:t>
      </w:r>
      <w:r>
        <w:rPr>
          <w:rFonts w:hint="eastAsia"/>
          <w:color w:val="000000"/>
        </w:rPr>
        <w:t>）+</w:t>
      </w:r>
      <w:r>
        <w:rPr>
          <w:rFonts w:hint="eastAsia"/>
          <w:color w:val="000000"/>
          <w:highlight w:val="yellow"/>
        </w:rPr>
        <w:t>4个一天</w:t>
      </w:r>
      <w:r>
        <w:rPr>
          <w:rFonts w:hint="eastAsia"/>
          <w:color w:val="000000"/>
        </w:rPr>
        <w:t>通知存款利息（</w:t>
      </w:r>
      <w:r>
        <w:rPr>
          <w:rFonts w:hint="eastAsia"/>
          <w:color w:val="000000"/>
          <w:highlight w:val="yellow"/>
        </w:rPr>
        <w:t>4天</w:t>
      </w:r>
      <w:r>
        <w:rPr>
          <w:rFonts w:hint="eastAsia"/>
          <w:color w:val="000000"/>
        </w:rPr>
        <w:t>）</w:t>
      </w:r>
    </w:p>
    <w:p>
      <w:pPr>
        <w:pStyle w:val="3"/>
        <w:spacing w:line="360" w:lineRule="auto"/>
        <w:ind w:left="420" w:firstLineChars="0"/>
        <w:rPr>
          <w:color w:val="000000"/>
        </w:rPr>
      </w:pPr>
      <w:r>
        <w:rPr>
          <w:rFonts w:hint="eastAsia"/>
          <w:b/>
          <w:color w:val="000000"/>
        </w:rPr>
        <w:t>到期支取时</w:t>
      </w:r>
      <w:r>
        <w:rPr>
          <w:rFonts w:hint="eastAsia"/>
          <w:color w:val="000000"/>
        </w:rPr>
        <w:t>：“稳得利”存单有效余额=存单金额+最后一期未付增值收益</w:t>
      </w:r>
    </w:p>
    <w:p>
      <w:pPr>
        <w:pStyle w:val="61"/>
        <w:spacing w:line="360" w:lineRule="auto"/>
        <w:ind w:left="420" w:leftChars="200" w:firstLine="315" w:firstLineChars="150"/>
        <w:rPr>
          <w:color w:val="000000"/>
        </w:rPr>
      </w:pPr>
      <w:r>
        <w:rPr>
          <w:rFonts w:hint="eastAsia"/>
          <w:color w:val="000000"/>
        </w:rPr>
        <w:t>客户存款时提前约定按年设置结息点。利息入客户本金账户。</w:t>
      </w:r>
    </w:p>
    <w:p>
      <w:pPr>
        <w:pStyle w:val="61"/>
        <w:spacing w:line="360" w:lineRule="auto"/>
        <w:ind w:left="420" w:leftChars="200" w:firstLine="315" w:firstLineChars="150"/>
        <w:rPr>
          <w:color w:val="000000"/>
        </w:rPr>
      </w:pPr>
      <w:r>
        <w:rPr>
          <w:rFonts w:hint="eastAsia"/>
          <w:color w:val="000000"/>
        </w:rPr>
        <w:t>按年结息的每期利息结转金额</w:t>
      </w:r>
      <w:r>
        <w:rPr>
          <w:color w:val="000000"/>
        </w:rPr>
        <w:t>=</w:t>
      </w:r>
      <w:r>
        <w:rPr>
          <w:rFonts w:hint="eastAsia"/>
          <w:color w:val="000000"/>
        </w:rPr>
        <w:t>“稳得利”本金×年利率（存入日我行挂牌执行的对应期整存整取定期储蓄利率）。</w:t>
      </w:r>
    </w:p>
    <w:p>
      <w:pPr>
        <w:pStyle w:val="3"/>
        <w:spacing w:line="360" w:lineRule="auto"/>
        <w:ind w:left="840" w:firstLine="0" w:firstLineChars="0"/>
        <w:rPr>
          <w:color w:val="000000"/>
        </w:rPr>
      </w:pPr>
      <w:r>
        <w:rPr>
          <w:rFonts w:hint="eastAsia"/>
          <w:b/>
          <w:color w:val="000000"/>
        </w:rPr>
        <w:t>逾期支取时</w:t>
      </w:r>
      <w:r>
        <w:rPr>
          <w:rFonts w:hint="eastAsia"/>
          <w:color w:val="000000"/>
        </w:rPr>
        <w:t>：实际销户支取的本息合计金额=存单金额+逾期部分利息（逾期部分利息=存单金额×客户支取日我行挂牌执行的活期储蓄存款利率×按逾期天数÷360 ）</w:t>
      </w:r>
    </w:p>
    <w:p>
      <w:pPr>
        <w:pStyle w:val="3"/>
        <w:numPr>
          <w:ilvl w:val="0"/>
          <w:numId w:val="17"/>
        </w:numPr>
        <w:spacing w:line="360" w:lineRule="auto"/>
        <w:ind w:left="426" w:firstLine="0" w:firstLineChars="0"/>
        <w:rPr>
          <w:color w:val="000000"/>
        </w:rPr>
      </w:pPr>
      <w:r>
        <w:rPr>
          <w:rFonts w:hint="eastAsia"/>
          <w:color w:val="000000"/>
        </w:rPr>
        <w:t>支持现金支取和转账方式支取。现金支取成功后需要更新柜员现金尾箱；转账方式支取时需要校验转入账户（卡）状态及是否存在账户限制，转入账户（卡）可以是收益账户，也可以不是收益账户，但必须跟稳得利存单是同一客户下的活期账户（卡）。</w:t>
      </w:r>
    </w:p>
    <w:p>
      <w:pPr>
        <w:pStyle w:val="3"/>
        <w:numPr>
          <w:ilvl w:val="0"/>
          <w:numId w:val="17"/>
        </w:numPr>
        <w:spacing w:line="360" w:lineRule="auto"/>
        <w:ind w:left="426" w:firstLine="0" w:firstLineChars="0"/>
        <w:rPr>
          <w:color w:val="000000"/>
        </w:rPr>
      </w:pPr>
      <w:r>
        <w:rPr>
          <w:rFonts w:hint="eastAsia"/>
          <w:color w:val="000000"/>
        </w:rPr>
        <w:t xml:space="preserve"> 如果为代办人代办开立的稳得利账户，需要在代办人页签输入代办人证件信息。</w:t>
      </w:r>
    </w:p>
    <w:p>
      <w:pPr>
        <w:pStyle w:val="5"/>
        <w:tabs>
          <w:tab w:val="clear" w:pos="1146"/>
        </w:tabs>
        <w:spacing w:beforeLines="0" w:afterLines="0"/>
        <w:ind w:left="709" w:hanging="709"/>
        <w:rPr>
          <w:color w:val="000000"/>
        </w:rPr>
      </w:pPr>
      <w:bookmarkStart w:id="64" w:name="_Toc437960692"/>
      <w:r>
        <w:rPr>
          <w:rFonts w:hint="eastAsia"/>
          <w:color w:val="000000"/>
        </w:rPr>
        <w:t>会计分录</w:t>
      </w:r>
      <w:bookmarkEnd w:id="64"/>
    </w:p>
    <w:p>
      <w:pPr>
        <w:pStyle w:val="107"/>
        <w:ind w:firstLine="735" w:firstLineChars="350"/>
        <w:rPr>
          <w:b/>
          <w:color w:val="000000"/>
          <w:sz w:val="21"/>
          <w:szCs w:val="21"/>
          <w:lang w:val="en-US"/>
        </w:rPr>
      </w:pPr>
      <w:r>
        <w:rPr>
          <w:rFonts w:hint="eastAsia"/>
          <w:b/>
          <w:color w:val="000000"/>
          <w:sz w:val="21"/>
          <w:szCs w:val="21"/>
          <w:lang w:val="en-US"/>
        </w:rPr>
        <w:t>到期销户</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525" w:firstLine="735" w:firstLineChars="350"/>
        <w:rPr>
          <w:color w:val="000000"/>
          <w:sz w:val="21"/>
          <w:szCs w:val="21"/>
          <w:lang w:val="en-US"/>
        </w:rPr>
      </w:pPr>
      <w:r>
        <w:rPr>
          <w:rFonts w:hint="eastAsia"/>
          <w:color w:val="000000"/>
          <w:sz w:val="21"/>
          <w:szCs w:val="21"/>
          <w:lang w:val="en-US"/>
        </w:rPr>
        <w:t>贷：活期储蓄存款（或现金）</w:t>
      </w:r>
    </w:p>
    <w:p>
      <w:pPr>
        <w:pStyle w:val="107"/>
        <w:ind w:firstLine="735" w:firstLineChars="350"/>
        <w:rPr>
          <w:b/>
          <w:color w:val="000000"/>
          <w:sz w:val="21"/>
          <w:szCs w:val="21"/>
          <w:lang w:val="en-US"/>
        </w:rPr>
      </w:pPr>
      <w:r>
        <w:rPr>
          <w:rFonts w:hint="eastAsia"/>
          <w:b/>
          <w:color w:val="000000"/>
          <w:sz w:val="21"/>
          <w:szCs w:val="21"/>
          <w:lang w:val="en-US"/>
        </w:rPr>
        <w:t>提前销户</w:t>
      </w:r>
    </w:p>
    <w:p>
      <w:pPr>
        <w:pStyle w:val="107"/>
        <w:ind w:firstLine="735" w:firstLineChars="350"/>
        <w:rPr>
          <w:color w:val="000000"/>
          <w:sz w:val="21"/>
          <w:szCs w:val="21"/>
          <w:lang w:val="en-US"/>
        </w:rPr>
      </w:pPr>
      <w:r>
        <w:rPr>
          <w:rFonts w:hint="eastAsia"/>
          <w:color w:val="000000"/>
          <w:sz w:val="21"/>
          <w:szCs w:val="21"/>
          <w:lang w:val="en-US"/>
        </w:rPr>
        <w:t>存在利息损失：</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525" w:firstLine="735" w:firstLineChars="350"/>
        <w:rPr>
          <w:color w:val="000000"/>
          <w:sz w:val="21"/>
          <w:szCs w:val="21"/>
          <w:lang w:val="en-US"/>
        </w:rPr>
      </w:pPr>
      <w:r>
        <w:rPr>
          <w:rFonts w:hint="eastAsia"/>
          <w:color w:val="000000"/>
          <w:sz w:val="21"/>
          <w:szCs w:val="21"/>
          <w:lang w:val="en-US"/>
        </w:rPr>
        <w:t>贷：活期储蓄存款（或现金）</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945" w:firstLine="315" w:firstLineChars="150"/>
        <w:rPr>
          <w:color w:val="000000"/>
          <w:sz w:val="21"/>
          <w:szCs w:val="21"/>
          <w:lang w:val="en-US"/>
        </w:rPr>
      </w:pPr>
      <w:r>
        <w:rPr>
          <w:rFonts w:hint="eastAsia"/>
          <w:color w:val="000000"/>
          <w:sz w:val="21"/>
          <w:szCs w:val="21"/>
          <w:lang w:val="en-US"/>
        </w:rPr>
        <w:t>贷：定期储蓄存款利息支出</w:t>
      </w:r>
    </w:p>
    <w:p>
      <w:pPr>
        <w:pStyle w:val="107"/>
        <w:ind w:firstLine="735" w:firstLineChars="350"/>
        <w:rPr>
          <w:color w:val="000000"/>
          <w:sz w:val="21"/>
          <w:szCs w:val="21"/>
          <w:lang w:val="en-US"/>
        </w:rPr>
      </w:pPr>
      <w:r>
        <w:rPr>
          <w:rFonts w:hint="eastAsia"/>
          <w:color w:val="000000"/>
          <w:sz w:val="21"/>
          <w:szCs w:val="21"/>
          <w:lang w:val="en-US"/>
        </w:rPr>
        <w:t>少付利息时：</w:t>
      </w:r>
    </w:p>
    <w:p>
      <w:pPr>
        <w:pStyle w:val="107"/>
        <w:ind w:firstLine="735" w:firstLineChars="350"/>
        <w:rPr>
          <w:color w:val="000000"/>
          <w:sz w:val="21"/>
          <w:szCs w:val="21"/>
          <w:lang w:val="en-US"/>
        </w:rPr>
      </w:pPr>
      <w:r>
        <w:rPr>
          <w:rFonts w:hint="eastAsia"/>
          <w:color w:val="000000"/>
          <w:sz w:val="21"/>
          <w:szCs w:val="21"/>
          <w:lang w:val="en-US"/>
        </w:rPr>
        <w:t>借：应付利息</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贷：稳得利存款</w:t>
      </w:r>
    </w:p>
    <w:p>
      <w:pPr>
        <w:pStyle w:val="107"/>
        <w:ind w:firstLine="735" w:firstLineChars="350"/>
        <w:rPr>
          <w:color w:val="000000"/>
          <w:sz w:val="21"/>
          <w:szCs w:val="21"/>
          <w:lang w:val="en-US"/>
        </w:rPr>
      </w:pPr>
      <w:r>
        <w:rPr>
          <w:rFonts w:hint="eastAsia"/>
          <w:color w:val="000000"/>
          <w:sz w:val="21"/>
          <w:szCs w:val="21"/>
          <w:lang w:val="en-US"/>
        </w:rPr>
        <w:t>借：稳得利存款（本息）</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贷：活期储蓄存款（或现金）</w:t>
      </w:r>
    </w:p>
    <w:p>
      <w:pPr>
        <w:pStyle w:val="107"/>
        <w:ind w:firstLine="735" w:firstLineChars="350"/>
        <w:rPr>
          <w:b/>
          <w:color w:val="000000"/>
          <w:sz w:val="21"/>
          <w:szCs w:val="21"/>
          <w:lang w:val="en-US"/>
        </w:rPr>
      </w:pPr>
      <w:r>
        <w:rPr>
          <w:rFonts w:hint="eastAsia"/>
          <w:b/>
          <w:color w:val="000000"/>
          <w:sz w:val="21"/>
          <w:szCs w:val="21"/>
          <w:lang w:val="en-US"/>
        </w:rPr>
        <w:t>逾期销户</w:t>
      </w:r>
    </w:p>
    <w:p>
      <w:pPr>
        <w:pStyle w:val="107"/>
        <w:ind w:firstLine="735" w:firstLineChars="350"/>
        <w:rPr>
          <w:color w:val="000000"/>
          <w:sz w:val="21"/>
          <w:szCs w:val="21"/>
          <w:lang w:val="en-US"/>
        </w:rPr>
      </w:pPr>
      <w:r>
        <w:rPr>
          <w:rFonts w:hint="eastAsia"/>
          <w:color w:val="000000"/>
          <w:sz w:val="21"/>
          <w:szCs w:val="21"/>
          <w:lang w:val="en-US"/>
        </w:rPr>
        <w:t>借：应付利息</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贷：稳得利存款</w:t>
      </w:r>
    </w:p>
    <w:p>
      <w:pPr>
        <w:pStyle w:val="107"/>
        <w:ind w:firstLine="735" w:firstLineChars="350"/>
        <w:rPr>
          <w:color w:val="000000"/>
          <w:sz w:val="21"/>
          <w:szCs w:val="21"/>
          <w:lang w:val="en-US"/>
        </w:rPr>
      </w:pPr>
      <w:r>
        <w:rPr>
          <w:rFonts w:hint="eastAsia"/>
          <w:color w:val="000000"/>
          <w:sz w:val="21"/>
          <w:szCs w:val="21"/>
          <w:lang w:val="en-US"/>
        </w:rPr>
        <w:t>借：稳得利存款（本息）</w:t>
      </w:r>
    </w:p>
    <w:p>
      <w:pPr>
        <w:rPr>
          <w:color w:val="000000"/>
        </w:rPr>
      </w:pPr>
      <w:r>
        <w:rPr>
          <w:rFonts w:hint="eastAsia"/>
          <w:color w:val="000000"/>
          <w:szCs w:val="21"/>
        </w:rPr>
        <w:tab/>
      </w:r>
      <w:r>
        <w:rPr>
          <w:rFonts w:hint="eastAsia"/>
          <w:color w:val="000000"/>
          <w:szCs w:val="21"/>
        </w:rPr>
        <w:tab/>
      </w:r>
      <w:r>
        <w:rPr>
          <w:rFonts w:hint="eastAsia"/>
          <w:color w:val="000000"/>
          <w:szCs w:val="21"/>
        </w:rPr>
        <w:t>贷：活期储蓄存款（或现金）</w:t>
      </w:r>
      <w:r>
        <w:rPr>
          <w:rFonts w:hint="eastAsia"/>
          <w:color w:val="000000"/>
        </w:rPr>
        <w:t>打印格式</w:t>
      </w:r>
    </w:p>
    <w:p>
      <w:pPr>
        <w:spacing w:line="360" w:lineRule="auto"/>
        <w:ind w:firstLine="735" w:firstLineChars="350"/>
        <w:rPr>
          <w:color w:val="000000"/>
        </w:rPr>
      </w:pPr>
      <w:r>
        <w:rPr>
          <w:rFonts w:hint="eastAsia"/>
          <w:color w:val="000000"/>
        </w:rPr>
        <w:t>保持现状</w:t>
      </w:r>
    </w:p>
    <w:p>
      <w:pPr>
        <w:pStyle w:val="4"/>
        <w:tabs>
          <w:tab w:val="clear" w:pos="576"/>
        </w:tabs>
        <w:spacing w:beforeLines="0" w:afterLines="0"/>
        <w:rPr>
          <w:color w:val="000000"/>
        </w:rPr>
      </w:pPr>
      <w:bookmarkStart w:id="65" w:name="_Toc437960693"/>
      <w:r>
        <w:rPr>
          <w:rFonts w:hint="eastAsia"/>
          <w:color w:val="000000"/>
        </w:rPr>
        <w:t>稳得利结息明细查询/打印</w:t>
      </w:r>
      <w:bookmarkEnd w:id="65"/>
    </w:p>
    <w:p>
      <w:pPr>
        <w:pStyle w:val="5"/>
        <w:tabs>
          <w:tab w:val="clear" w:pos="1146"/>
        </w:tabs>
        <w:spacing w:beforeLines="0" w:afterLines="0"/>
        <w:ind w:left="709" w:hanging="709"/>
        <w:rPr>
          <w:color w:val="000000"/>
        </w:rPr>
      </w:pPr>
      <w:bookmarkStart w:id="66" w:name="_Toc437960694"/>
      <w:r>
        <w:rPr>
          <w:rFonts w:hint="eastAsia"/>
          <w:color w:val="000000"/>
        </w:rPr>
        <w:t>需求编号</w:t>
      </w:r>
      <w:bookmarkEnd w:id="66"/>
    </w:p>
    <w:p>
      <w:pPr>
        <w:pStyle w:val="5"/>
        <w:tabs>
          <w:tab w:val="clear" w:pos="1146"/>
        </w:tabs>
        <w:spacing w:beforeLines="0" w:afterLines="0"/>
        <w:ind w:left="709" w:hanging="709"/>
        <w:rPr>
          <w:color w:val="000000"/>
        </w:rPr>
      </w:pPr>
      <w:bookmarkStart w:id="67" w:name="_Toc437960695"/>
      <w:r>
        <w:rPr>
          <w:rFonts w:hint="eastAsia"/>
          <w:color w:val="000000"/>
        </w:rPr>
        <w:t>功能描述</w:t>
      </w:r>
      <w:bookmarkEnd w:id="67"/>
    </w:p>
    <w:p>
      <w:pPr>
        <w:pStyle w:val="56"/>
        <w:spacing w:line="360" w:lineRule="auto"/>
        <w:rPr>
          <w:i w:val="0"/>
          <w:color w:val="000000"/>
        </w:rPr>
      </w:pPr>
      <w:r>
        <w:rPr>
          <w:rFonts w:hint="eastAsia"/>
          <w:i w:val="0"/>
          <w:color w:val="000000"/>
        </w:rPr>
        <w:t>新增稳得利结息明细查询/打印交易，柜员可通过稳得利结息明细查询/打印交易查询存单结息明细信息并进行凭证打印。</w:t>
      </w:r>
    </w:p>
    <w:p>
      <w:pPr>
        <w:pStyle w:val="5"/>
        <w:tabs>
          <w:tab w:val="clear" w:pos="1146"/>
        </w:tabs>
        <w:spacing w:beforeLines="0" w:afterLines="0"/>
        <w:ind w:left="709" w:hanging="709"/>
        <w:rPr>
          <w:color w:val="000000"/>
        </w:rPr>
      </w:pPr>
      <w:bookmarkStart w:id="68" w:name="_Toc437960696"/>
      <w:r>
        <w:rPr>
          <w:rFonts w:hint="eastAsia"/>
          <w:color w:val="000000"/>
        </w:rPr>
        <w:t>菜单</w:t>
      </w:r>
      <w:bookmarkEnd w:id="68"/>
    </w:p>
    <w:p>
      <w:pPr>
        <w:pStyle w:val="3"/>
        <w:rPr>
          <w:color w:val="000000"/>
        </w:rPr>
      </w:pPr>
      <w:r>
        <w:rPr>
          <w:rFonts w:hint="eastAsia"/>
          <w:color w:val="000000"/>
        </w:rPr>
        <w:t>存款</w:t>
      </w:r>
    </w:p>
    <w:p>
      <w:pPr>
        <w:pStyle w:val="3"/>
        <w:rPr>
          <w:color w:val="000000"/>
        </w:rPr>
      </w:pPr>
      <w:r>
        <w:rPr>
          <w:rFonts w:hint="eastAsia"/>
          <w:color w:val="000000"/>
        </w:rPr>
        <w:tab/>
      </w:r>
      <w:r>
        <w:rPr>
          <w:rFonts w:hint="eastAsia"/>
          <w:color w:val="000000"/>
        </w:rPr>
        <w:t>查询</w:t>
      </w:r>
    </w:p>
    <w:p>
      <w:pPr>
        <w:pStyle w:val="3"/>
        <w:rPr>
          <w:color w:val="000000"/>
        </w:rPr>
      </w:pPr>
      <w:r>
        <w:rPr>
          <w:rFonts w:hint="eastAsia"/>
          <w:color w:val="000000"/>
        </w:rPr>
        <w:tab/>
      </w:r>
      <w:r>
        <w:rPr>
          <w:rFonts w:hint="eastAsia"/>
          <w:color w:val="000000"/>
        </w:rPr>
        <w:tab/>
      </w:r>
      <w:r>
        <w:rPr>
          <w:rFonts w:hint="eastAsia"/>
          <w:color w:val="000000"/>
        </w:rPr>
        <w:t>稳得利</w:t>
      </w:r>
    </w:p>
    <w:p>
      <w:pPr>
        <w:pStyle w:val="3"/>
        <w:rPr>
          <w:color w:val="000000"/>
        </w:rPr>
      </w:pPr>
      <w:r>
        <w:rPr>
          <w:rFonts w:hint="eastAsia"/>
          <w:color w:val="000000"/>
        </w:rPr>
        <w:tab/>
      </w:r>
      <w:r>
        <w:rPr>
          <w:rFonts w:hint="eastAsia"/>
          <w:color w:val="000000"/>
        </w:rPr>
        <w:tab/>
      </w:r>
      <w:r>
        <w:rPr>
          <w:rFonts w:hint="eastAsia"/>
          <w:color w:val="000000"/>
        </w:rPr>
        <w:tab/>
      </w:r>
      <w:r>
        <w:rPr>
          <w:rFonts w:hint="eastAsia"/>
          <w:color w:val="000000"/>
        </w:rPr>
        <w:t>稳得利结息明细查询/打印</w:t>
      </w:r>
    </w:p>
    <w:p>
      <w:pPr>
        <w:pStyle w:val="5"/>
        <w:tabs>
          <w:tab w:val="clear" w:pos="1146"/>
        </w:tabs>
        <w:spacing w:beforeLines="0" w:afterLines="0"/>
        <w:ind w:left="709" w:hanging="709"/>
        <w:rPr>
          <w:color w:val="000000"/>
        </w:rPr>
      </w:pPr>
      <w:bookmarkStart w:id="69" w:name="_Toc437960697"/>
      <w:r>
        <w:rPr>
          <w:rFonts w:hint="eastAsia"/>
          <w:color w:val="000000"/>
        </w:rPr>
        <w:t>输入输出</w:t>
      </w:r>
      <w:bookmarkEnd w:id="69"/>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rPr>
          <w:rFonts w:ascii="Arial" w:hAnsi="Arial" w:cs="Arial"/>
          <w:color w:val="000000"/>
        </w:rPr>
      </w:pPr>
    </w:p>
    <w:p>
      <w:pPr>
        <w:jc w:val="center"/>
        <w:rPr>
          <w:rFonts w:ascii="Arial" w:hAnsi="Arial" w:cs="Arial"/>
          <w:color w:val="000000"/>
        </w:rPr>
      </w:pPr>
      <w:r>
        <w:rPr>
          <w:rFonts w:ascii="Arial" w:hAnsi="Arial" w:cs="Arial"/>
          <w:color w:val="000000"/>
        </w:rPr>
        <w:drawing>
          <wp:inline distT="0" distB="0" distL="0" distR="0">
            <wp:extent cx="4552950" cy="1136650"/>
            <wp:effectExtent l="19050" t="0" r="0" b="0"/>
            <wp:docPr id="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pic:cNvPicPr>
                      <a:picLocks noChangeAspect="1" noChangeArrowheads="1"/>
                    </pic:cNvPicPr>
                  </pic:nvPicPr>
                  <pic:blipFill>
                    <a:blip r:embed="rId26"/>
                    <a:srcRect/>
                    <a:stretch>
                      <a:fillRect/>
                    </a:stretch>
                  </pic:blipFill>
                  <pic:spPr>
                    <a:xfrm>
                      <a:off x="0" y="0"/>
                      <a:ext cx="4561795" cy="1139078"/>
                    </a:xfrm>
                    <a:prstGeom prst="rect">
                      <a:avLst/>
                    </a:prstGeom>
                    <a:noFill/>
                    <a:ln w="9525">
                      <a:noFill/>
                      <a:miter lim="800000"/>
                      <a:headEnd/>
                      <a:tailEnd/>
                    </a:ln>
                  </pic:spPr>
                </pic:pic>
              </a:graphicData>
            </a:graphic>
          </wp:inline>
        </w:drawing>
      </w:r>
    </w:p>
    <w:p>
      <w:pPr>
        <w:rPr>
          <w:rFonts w:ascii="Arial" w:hAnsi="Arial" w:cs="Arial"/>
          <w:color w:val="000000"/>
        </w:rPr>
      </w:pPr>
    </w:p>
    <w:p>
      <w:pPr>
        <w:pStyle w:val="5"/>
        <w:tabs>
          <w:tab w:val="clear" w:pos="1146"/>
        </w:tabs>
        <w:spacing w:beforeLines="0" w:afterLines="0"/>
        <w:ind w:left="709" w:hanging="709"/>
        <w:rPr>
          <w:color w:val="000000"/>
        </w:rPr>
      </w:pPr>
      <w:bookmarkStart w:id="70" w:name="_Toc437960698"/>
      <w:r>
        <w:rPr>
          <w:rFonts w:hint="eastAsia"/>
          <w:color w:val="000000"/>
        </w:rPr>
        <w:t>交易处理</w:t>
      </w:r>
      <w:bookmarkEnd w:id="70"/>
    </w:p>
    <w:p>
      <w:pPr>
        <w:pStyle w:val="3"/>
        <w:numPr>
          <w:ilvl w:val="0"/>
          <w:numId w:val="19"/>
        </w:numPr>
        <w:spacing w:line="360" w:lineRule="auto"/>
        <w:ind w:left="426" w:hanging="6" w:firstLineChars="0"/>
        <w:rPr>
          <w:color w:val="000000"/>
        </w:rPr>
      </w:pPr>
      <w:r>
        <w:rPr>
          <w:rFonts w:hint="eastAsia"/>
          <w:color w:val="000000"/>
        </w:rPr>
        <w:t xml:space="preserve"> 查询条件中“稳得利账号”、“收益卡/账号”不能同时为空。</w:t>
      </w:r>
    </w:p>
    <w:p>
      <w:pPr>
        <w:pStyle w:val="3"/>
        <w:numPr>
          <w:ilvl w:val="0"/>
          <w:numId w:val="19"/>
        </w:numPr>
        <w:spacing w:line="360" w:lineRule="auto"/>
        <w:ind w:left="426" w:hanging="6" w:firstLineChars="0"/>
        <w:rPr>
          <w:color w:val="000000"/>
        </w:rPr>
      </w:pPr>
      <w:r>
        <w:rPr>
          <w:rFonts w:hint="eastAsia"/>
          <w:color w:val="000000"/>
        </w:rPr>
        <w:t xml:space="preserve"> 根据“稳得利账号”查询结果默认显示该张“稳得利”存单自开户之日至截止查询日的结息明细</w:t>
      </w:r>
    </w:p>
    <w:p>
      <w:pPr>
        <w:pStyle w:val="3"/>
        <w:numPr>
          <w:ilvl w:val="0"/>
          <w:numId w:val="19"/>
        </w:numPr>
        <w:spacing w:line="360" w:lineRule="auto"/>
        <w:ind w:left="426" w:hanging="6" w:firstLineChars="0"/>
        <w:rPr>
          <w:color w:val="000000"/>
        </w:rPr>
      </w:pPr>
      <w:r>
        <w:rPr>
          <w:rFonts w:hint="eastAsia"/>
          <w:color w:val="000000"/>
        </w:rPr>
        <w:t xml:space="preserve"> 根据“收益卡/账号”查询，如收益卡/账号仅关联一张“稳得利”存单，直接默认显示关联“稳得利”存单自开户之日至截止查询日的结息明细；如收益卡/账号关联多张“稳得利”存单，点击查询后显示所有关联“稳得利”存单自开户之日至截止查询日的结息明细。</w:t>
      </w:r>
    </w:p>
    <w:p>
      <w:pPr>
        <w:pStyle w:val="3"/>
        <w:numPr>
          <w:ilvl w:val="0"/>
          <w:numId w:val="19"/>
        </w:numPr>
        <w:spacing w:line="360" w:lineRule="auto"/>
        <w:ind w:left="426" w:hanging="6" w:firstLineChars="0"/>
        <w:rPr>
          <w:color w:val="000000"/>
        </w:rPr>
      </w:pPr>
      <w:r>
        <w:rPr>
          <w:rFonts w:hint="eastAsia"/>
          <w:color w:val="000000"/>
        </w:rPr>
        <w:t xml:space="preserve"> 交易界面的“结息合计金额”为单个（或多个）稳得利账户整个存期内所有结息金额之和，系统自动计算并回显至交易界面。</w:t>
      </w:r>
    </w:p>
    <w:p>
      <w:pPr>
        <w:pStyle w:val="3"/>
        <w:numPr>
          <w:ilvl w:val="0"/>
          <w:numId w:val="19"/>
        </w:numPr>
        <w:spacing w:line="360" w:lineRule="auto"/>
        <w:ind w:firstLineChars="0"/>
        <w:rPr>
          <w:color w:val="000000"/>
        </w:rPr>
      </w:pPr>
      <w:r>
        <w:rPr>
          <w:rFonts w:hint="eastAsia"/>
          <w:color w:val="000000"/>
        </w:rPr>
        <w:t xml:space="preserve"> 点击“打印”按钮，默认打印查询结果中稳得利账户整个存期内结息信息。</w:t>
      </w:r>
    </w:p>
    <w:p>
      <w:pPr>
        <w:pStyle w:val="5"/>
        <w:tabs>
          <w:tab w:val="clear" w:pos="1146"/>
        </w:tabs>
        <w:spacing w:beforeLines="0" w:afterLines="0"/>
        <w:ind w:left="709" w:hanging="709"/>
        <w:rPr>
          <w:color w:val="000000"/>
        </w:rPr>
      </w:pPr>
      <w:bookmarkStart w:id="71" w:name="_Toc437960699"/>
      <w:r>
        <w:rPr>
          <w:rFonts w:hint="eastAsia"/>
          <w:color w:val="000000"/>
        </w:rPr>
        <w:t>会计分录</w:t>
      </w:r>
      <w:bookmarkEnd w:id="71"/>
    </w:p>
    <w:p>
      <w:pPr>
        <w:pStyle w:val="107"/>
        <w:ind w:firstLine="735" w:firstLineChars="350"/>
        <w:rPr>
          <w:color w:val="000000"/>
          <w:lang w:val="en-US"/>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72" w:name="_Toc437960700"/>
      <w:r>
        <w:rPr>
          <w:rFonts w:hint="eastAsia"/>
          <w:color w:val="000000"/>
        </w:rPr>
        <w:t>打印格式</w:t>
      </w:r>
      <w:bookmarkEnd w:id="72"/>
    </w:p>
    <w:p>
      <w:pPr>
        <w:pStyle w:val="3"/>
        <w:ind w:firstLineChars="0"/>
        <w:rPr>
          <w:color w:val="000000"/>
        </w:rPr>
      </w:pPr>
      <w:r>
        <w:rPr>
          <w:rFonts w:hint="eastAsia"/>
          <w:color w:val="000000"/>
        </w:rPr>
        <w:t>A4纸</w:t>
      </w:r>
    </w:p>
    <w:tbl>
      <w:tblPr>
        <w:tblStyle w:val="4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522" w:type="dxa"/>
          </w:tcPr>
          <w:p>
            <w:pPr>
              <w:pBdr>
                <w:bottom w:val="single" w:color="auto" w:sz="6" w:space="1"/>
              </w:pBdr>
              <w:spacing w:beforeLines="50" w:afterLines="50"/>
              <w:ind w:firstLine="420" w:firstLineChars="200"/>
              <w:rPr>
                <w:rFonts w:ascii="宋体" w:hAnsi="宋体"/>
                <w:bCs/>
                <w:color w:val="000000"/>
                <w:szCs w:val="21"/>
              </w:rPr>
            </w:pPr>
            <w:r>
              <w:rPr>
                <w:rFonts w:hint="eastAsia" w:ascii="宋体" w:hAnsi="宋体"/>
                <w:color w:val="000000"/>
                <w:szCs w:val="21"/>
              </w:rPr>
              <w:t xml:space="preserve"> </w:t>
            </w:r>
            <w:r>
              <w:rPr>
                <w:rFonts w:hint="eastAsia" w:ascii="宋体" w:hAnsi="宋体"/>
                <w:b/>
                <w:bCs/>
                <w:color w:val="000000"/>
                <w:szCs w:val="21"/>
              </w:rPr>
              <w:t xml:space="preserve">                     </w:t>
            </w:r>
            <w:r>
              <w:rPr>
                <w:rFonts w:hint="eastAsia" w:ascii="宋体" w:hAnsi="宋体"/>
                <w:bCs/>
                <w:color w:val="000000"/>
                <w:szCs w:val="21"/>
              </w:rPr>
              <w:t>稳得利结息明细单</w:t>
            </w:r>
          </w:p>
          <w:p>
            <w:pPr>
              <w:pBdr>
                <w:bottom w:val="single" w:color="auto" w:sz="6" w:space="1"/>
              </w:pBdr>
              <w:spacing w:beforeLines="50" w:afterLines="50"/>
              <w:ind w:firstLine="420" w:firstLineChars="200"/>
              <w:rPr>
                <w:rFonts w:ascii="宋体" w:hAnsi="宋体"/>
                <w:bCs/>
                <w:color w:val="000000"/>
                <w:szCs w:val="21"/>
              </w:rPr>
            </w:pPr>
            <w:r>
              <w:rPr>
                <w:rFonts w:hint="eastAsia" w:ascii="宋体" w:hAnsi="宋体"/>
                <w:bCs/>
                <w:color w:val="000000"/>
                <w:szCs w:val="21"/>
              </w:rPr>
              <w:t>机构号：                    日期：                       交易码：</w:t>
            </w:r>
          </w:p>
          <w:p>
            <w:pPr>
              <w:ind w:firstLine="420" w:firstLineChars="200"/>
              <w:rPr>
                <w:color w:val="000000"/>
              </w:rPr>
            </w:pPr>
            <w:r>
              <w:rPr>
                <w:rFonts w:hint="eastAsia"/>
                <w:color w:val="000000"/>
              </w:rPr>
              <w:t>存单账号   收益账号  收益账号卡/折类型  结息日期  结息金额  摘要</w:t>
            </w:r>
          </w:p>
          <w:p>
            <w:pPr>
              <w:pBdr>
                <w:bottom w:val="single" w:color="auto" w:sz="6" w:space="1"/>
              </w:pBdr>
              <w:ind w:firstLine="420" w:firstLineChars="200"/>
              <w:rPr>
                <w:color w:val="000000"/>
              </w:rPr>
            </w:pP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p>
          <w:p>
            <w:pPr>
              <w:pBdr>
                <w:bottom w:val="single" w:color="auto" w:sz="6" w:space="1"/>
              </w:pBdr>
              <w:ind w:firstLine="420" w:firstLineChars="200"/>
              <w:rPr>
                <w:color w:val="000000"/>
              </w:rPr>
            </w:pP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p>
          <w:p>
            <w:pPr>
              <w:pBdr>
                <w:bottom w:val="single" w:color="auto" w:sz="6" w:space="1"/>
              </w:pBdr>
              <w:ind w:firstLine="420" w:firstLineChars="200"/>
              <w:rPr>
                <w:color w:val="000000"/>
              </w:rPr>
            </w:pP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r>
              <w:rPr>
                <w:rFonts w:hint="eastAsia"/>
                <w:color w:val="000000"/>
              </w:rPr>
              <w:t xml:space="preserve">  </w:t>
            </w:r>
            <w:r>
              <w:rPr>
                <w:color w:val="000000"/>
              </w:rPr>
              <w:t>[</w:t>
            </w:r>
            <w:r>
              <w:rPr>
                <w:rFonts w:hint="eastAsia"/>
                <w:color w:val="000000"/>
              </w:rPr>
              <w:t>---------</w:t>
            </w:r>
            <w:r>
              <w:rPr>
                <w:color w:val="000000"/>
              </w:rPr>
              <w:t>]</w:t>
            </w:r>
          </w:p>
          <w:p>
            <w:pPr>
              <w:pBdr>
                <w:bottom w:val="single" w:color="auto" w:sz="6" w:space="1"/>
              </w:pBdr>
              <w:rPr>
                <w:color w:val="000000"/>
              </w:rPr>
            </w:pPr>
            <w:r>
              <w:rPr>
                <w:rFonts w:hint="eastAsia"/>
                <w:color w:val="000000"/>
              </w:rPr>
              <w:t xml:space="preserve">    ．．．．．．</w:t>
            </w:r>
          </w:p>
          <w:p>
            <w:pPr>
              <w:pBdr>
                <w:bottom w:val="single" w:color="auto" w:sz="6" w:space="1"/>
              </w:pBdr>
              <w:ind w:firstLine="420" w:firstLineChars="200"/>
              <w:rPr>
                <w:color w:val="000000"/>
              </w:rPr>
            </w:pPr>
          </w:p>
          <w:p>
            <w:pPr>
              <w:pBdr>
                <w:bottom w:val="single" w:color="auto" w:sz="6" w:space="1"/>
              </w:pBdr>
              <w:ind w:firstLine="420" w:firstLineChars="200"/>
              <w:rPr>
                <w:color w:val="000000"/>
              </w:rPr>
            </w:pPr>
            <w:r>
              <w:rPr>
                <w:rFonts w:hint="eastAsia"/>
                <w:color w:val="000000"/>
              </w:rPr>
              <w:t xml:space="preserve">       </w:t>
            </w:r>
          </w:p>
          <w:p>
            <w:pPr>
              <w:pBdr>
                <w:bottom w:val="single" w:color="auto" w:sz="6" w:space="1"/>
              </w:pBdr>
              <w:ind w:firstLine="420" w:firstLineChars="200"/>
              <w:rPr>
                <w:color w:val="000000"/>
              </w:rPr>
            </w:pPr>
            <w:r>
              <w:rPr>
                <w:rFonts w:hint="eastAsia"/>
                <w:color w:val="000000"/>
              </w:rPr>
              <w:t>　　</w:t>
            </w:r>
          </w:p>
          <w:p>
            <w:pPr>
              <w:pBdr>
                <w:bottom w:val="single" w:color="auto" w:sz="6" w:space="1"/>
              </w:pBdr>
              <w:ind w:firstLine="420" w:firstLineChars="200"/>
              <w:rPr>
                <w:color w:val="000000"/>
              </w:rPr>
            </w:pPr>
          </w:p>
          <w:p>
            <w:pPr>
              <w:pBdr>
                <w:bottom w:val="single" w:color="auto" w:sz="6" w:space="1"/>
              </w:pBdr>
              <w:ind w:firstLine="420" w:firstLineChars="200"/>
              <w:rPr>
                <w:color w:val="000000"/>
              </w:rPr>
            </w:pPr>
            <w:r>
              <w:rPr>
                <w:rFonts w:hint="eastAsia"/>
                <w:color w:val="000000"/>
              </w:rPr>
              <w:t>　　　　　　　　　　　　　　　　　　　　　　　结息合计金额</w:t>
            </w:r>
            <w:r>
              <w:rPr>
                <w:color w:val="000000"/>
              </w:rPr>
              <w:t>[</w:t>
            </w:r>
            <w:r>
              <w:rPr>
                <w:rFonts w:hint="eastAsia"/>
                <w:color w:val="000000"/>
              </w:rPr>
              <w:t>---------</w:t>
            </w:r>
            <w:r>
              <w:rPr>
                <w:color w:val="000000"/>
              </w:rPr>
              <w:t>]</w:t>
            </w:r>
          </w:p>
          <w:p>
            <w:pPr>
              <w:pBdr>
                <w:bottom w:val="single" w:color="auto" w:sz="6" w:space="1"/>
              </w:pBdr>
              <w:ind w:firstLine="420" w:firstLineChars="200"/>
              <w:rPr>
                <w:color w:val="000000"/>
              </w:rPr>
            </w:pPr>
          </w:p>
          <w:p>
            <w:pPr>
              <w:rPr>
                <w:color w:val="000000"/>
              </w:rPr>
            </w:pPr>
          </w:p>
        </w:tc>
      </w:tr>
    </w:tbl>
    <w:p>
      <w:pPr>
        <w:pStyle w:val="4"/>
        <w:tabs>
          <w:tab w:val="clear" w:pos="576"/>
        </w:tabs>
        <w:spacing w:beforeLines="0" w:afterLines="0"/>
        <w:rPr>
          <w:color w:val="000000"/>
        </w:rPr>
      </w:pPr>
      <w:bookmarkStart w:id="73" w:name="_Toc437960701"/>
      <w:r>
        <w:rPr>
          <w:rFonts w:hint="eastAsia"/>
          <w:color w:val="000000"/>
        </w:rPr>
        <w:t>强制扣划</w:t>
      </w:r>
      <w:bookmarkEnd w:id="73"/>
    </w:p>
    <w:p>
      <w:pPr>
        <w:pStyle w:val="5"/>
        <w:tabs>
          <w:tab w:val="clear" w:pos="1146"/>
        </w:tabs>
        <w:spacing w:beforeLines="0" w:afterLines="0"/>
        <w:ind w:left="709" w:hanging="709"/>
        <w:rPr>
          <w:color w:val="000000"/>
        </w:rPr>
      </w:pPr>
      <w:bookmarkStart w:id="74" w:name="_Toc437960702"/>
      <w:r>
        <w:rPr>
          <w:rFonts w:hint="eastAsia"/>
          <w:color w:val="000000"/>
        </w:rPr>
        <w:t>需求编号</w:t>
      </w:r>
      <w:bookmarkEnd w:id="74"/>
    </w:p>
    <w:p>
      <w:pPr>
        <w:pStyle w:val="5"/>
        <w:tabs>
          <w:tab w:val="clear" w:pos="1146"/>
        </w:tabs>
        <w:spacing w:beforeLines="0" w:afterLines="0"/>
        <w:ind w:left="709" w:hanging="709"/>
        <w:rPr>
          <w:color w:val="000000"/>
        </w:rPr>
      </w:pPr>
      <w:bookmarkStart w:id="75" w:name="_Toc437960703"/>
      <w:r>
        <w:rPr>
          <w:rFonts w:hint="eastAsia"/>
          <w:color w:val="000000"/>
        </w:rPr>
        <w:t>功能描述</w:t>
      </w:r>
      <w:bookmarkEnd w:id="75"/>
    </w:p>
    <w:p>
      <w:pPr>
        <w:pStyle w:val="56"/>
        <w:rPr>
          <w:i w:val="0"/>
          <w:color w:val="000000"/>
        </w:rPr>
      </w:pPr>
      <w:r>
        <w:rPr>
          <w:rFonts w:hint="eastAsia"/>
          <w:i w:val="0"/>
          <w:color w:val="000000"/>
        </w:rPr>
        <w:t>该交易需要支持“稳得利”存单的扣划功能。</w:t>
      </w:r>
    </w:p>
    <w:p>
      <w:pPr>
        <w:pStyle w:val="5"/>
        <w:tabs>
          <w:tab w:val="clear" w:pos="1146"/>
        </w:tabs>
        <w:spacing w:beforeLines="0" w:afterLines="0"/>
        <w:ind w:left="709" w:hanging="709"/>
        <w:rPr>
          <w:color w:val="000000"/>
        </w:rPr>
      </w:pPr>
      <w:bookmarkStart w:id="76" w:name="_Toc437960704"/>
      <w:r>
        <w:rPr>
          <w:rFonts w:hint="eastAsia"/>
          <w:color w:val="000000"/>
        </w:rPr>
        <w:t>菜单</w:t>
      </w:r>
      <w:bookmarkEnd w:id="76"/>
    </w:p>
    <w:p>
      <w:pPr>
        <w:pStyle w:val="3"/>
        <w:rPr>
          <w:color w:val="000000"/>
        </w:rPr>
      </w:pPr>
      <w:r>
        <w:rPr>
          <w:rFonts w:hint="eastAsia"/>
          <w:color w:val="000000"/>
        </w:rPr>
        <w:t>存款业务</w:t>
      </w:r>
    </w:p>
    <w:p>
      <w:pPr>
        <w:pStyle w:val="3"/>
        <w:rPr>
          <w:color w:val="000000"/>
        </w:rPr>
      </w:pPr>
      <w:r>
        <w:rPr>
          <w:rFonts w:hint="eastAsia"/>
          <w:color w:val="000000"/>
        </w:rPr>
        <w:tab/>
      </w:r>
      <w:r>
        <w:rPr>
          <w:rFonts w:hint="eastAsia"/>
          <w:color w:val="000000"/>
        </w:rPr>
        <w:t>特殊交易</w:t>
      </w:r>
    </w:p>
    <w:p>
      <w:pPr>
        <w:pStyle w:val="3"/>
        <w:rPr>
          <w:color w:val="000000"/>
        </w:rPr>
      </w:pPr>
      <w:r>
        <w:rPr>
          <w:rFonts w:hint="eastAsia"/>
          <w:color w:val="000000"/>
        </w:rPr>
        <w:tab/>
      </w:r>
      <w:r>
        <w:rPr>
          <w:rFonts w:hint="eastAsia"/>
          <w:color w:val="000000"/>
        </w:rPr>
        <w:tab/>
      </w:r>
      <w:r>
        <w:rPr>
          <w:rFonts w:hint="eastAsia"/>
          <w:color w:val="000000"/>
        </w:rPr>
        <w:t>强制扣划</w:t>
      </w:r>
    </w:p>
    <w:p>
      <w:pPr>
        <w:pStyle w:val="5"/>
        <w:tabs>
          <w:tab w:val="clear" w:pos="1146"/>
        </w:tabs>
        <w:spacing w:beforeLines="0" w:afterLines="0"/>
        <w:ind w:left="709" w:hanging="709"/>
        <w:rPr>
          <w:color w:val="000000"/>
        </w:rPr>
      </w:pPr>
      <w:bookmarkStart w:id="77" w:name="_Toc437960705"/>
      <w:r>
        <w:rPr>
          <w:rFonts w:hint="eastAsia"/>
          <w:color w:val="000000"/>
        </w:rPr>
        <w:t>输入输出</w:t>
      </w:r>
      <w:bookmarkEnd w:id="77"/>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rPr>
          <w:rFonts w:ascii="Arial" w:hAnsi="Arial" w:cs="Arial"/>
          <w:color w:val="000000"/>
        </w:rPr>
      </w:pPr>
      <w:r>
        <w:rPr>
          <w:rFonts w:hint="eastAsia" w:ascii="Arial" w:hAnsi="Arial" w:cs="Arial"/>
          <w:color w:val="000000"/>
        </w:rPr>
        <w:t>保持原交易界面不变</w:t>
      </w:r>
    </w:p>
    <w:p>
      <w:pPr>
        <w:pStyle w:val="5"/>
        <w:tabs>
          <w:tab w:val="clear" w:pos="1146"/>
        </w:tabs>
        <w:spacing w:beforeLines="0" w:afterLines="0"/>
        <w:ind w:left="709" w:hanging="709"/>
        <w:rPr>
          <w:color w:val="000000"/>
        </w:rPr>
      </w:pPr>
      <w:bookmarkStart w:id="78" w:name="_Toc437960706"/>
      <w:r>
        <w:rPr>
          <w:rFonts w:hint="eastAsia"/>
          <w:color w:val="000000"/>
        </w:rPr>
        <w:t>交易处理</w:t>
      </w:r>
      <w:bookmarkEnd w:id="78"/>
    </w:p>
    <w:p>
      <w:pPr>
        <w:pStyle w:val="3"/>
        <w:numPr>
          <w:ilvl w:val="0"/>
          <w:numId w:val="20"/>
        </w:numPr>
        <w:spacing w:line="360" w:lineRule="auto"/>
        <w:ind w:left="284" w:hanging="12" w:firstLineChars="0"/>
        <w:rPr>
          <w:color w:val="000000"/>
        </w:rPr>
      </w:pPr>
      <w:r>
        <w:rPr>
          <w:rFonts w:hint="eastAsia"/>
          <w:color w:val="000000"/>
        </w:rPr>
        <w:t xml:space="preserve"> 该交易需要支持“稳得利”存单的扣划功能，交易界面的“是否计息”只能选择“Y计息”。</w:t>
      </w:r>
    </w:p>
    <w:p>
      <w:pPr>
        <w:pStyle w:val="3"/>
        <w:numPr>
          <w:ilvl w:val="0"/>
          <w:numId w:val="20"/>
        </w:numPr>
        <w:spacing w:line="360" w:lineRule="auto"/>
        <w:ind w:left="284" w:hanging="12" w:firstLineChars="0"/>
        <w:rPr>
          <w:color w:val="000000"/>
        </w:rPr>
      </w:pPr>
      <w:r>
        <w:rPr>
          <w:rFonts w:hint="eastAsia"/>
          <w:color w:val="000000"/>
        </w:rPr>
        <w:t xml:space="preserve"> 不支持“稳得利”存单的部分扣划功能，扣划交易存在利息损失，利息损失在扣划时从本金扣除剩余为可扣划金额。</w:t>
      </w:r>
    </w:p>
    <w:p>
      <w:pPr>
        <w:pStyle w:val="3"/>
        <w:numPr>
          <w:ilvl w:val="0"/>
          <w:numId w:val="20"/>
        </w:numPr>
        <w:spacing w:line="360" w:lineRule="auto"/>
        <w:ind w:left="284" w:hanging="12" w:firstLineChars="0"/>
      </w:pPr>
      <w:r>
        <w:rPr>
          <w:rFonts w:hint="eastAsia"/>
        </w:rPr>
        <w:t>利息损失=已付利息-扣划日靠档利息</w:t>
      </w:r>
    </w:p>
    <w:p>
      <w:pPr>
        <w:pStyle w:val="3"/>
        <w:numPr>
          <w:ilvl w:val="0"/>
          <w:numId w:val="20"/>
        </w:numPr>
        <w:spacing w:line="360" w:lineRule="auto"/>
        <w:ind w:left="284" w:hanging="12" w:firstLineChars="0"/>
        <w:rPr>
          <w:color w:val="000000"/>
        </w:rPr>
      </w:pPr>
      <w:r>
        <w:rPr>
          <w:rFonts w:hint="eastAsia"/>
          <w:color w:val="000000"/>
        </w:rPr>
        <w:t xml:space="preserve"> 交易界面的“利息”=扣划金额当日靠档试算利息-扣划金额已付利息。</w:t>
      </w:r>
    </w:p>
    <w:p>
      <w:pPr>
        <w:pStyle w:val="3"/>
        <w:numPr>
          <w:ilvl w:val="0"/>
          <w:numId w:val="20"/>
        </w:numPr>
        <w:spacing w:line="360" w:lineRule="auto"/>
        <w:ind w:left="284" w:hanging="12" w:firstLineChars="0"/>
        <w:rPr>
          <w:color w:val="000000"/>
        </w:rPr>
      </w:pPr>
      <w:r>
        <w:rPr>
          <w:rFonts w:hint="eastAsia"/>
          <w:color w:val="000000"/>
        </w:rPr>
        <w:t xml:space="preserve"> 交易提交需要强制授权，授权成功后打印账户扣划凭证和存款利息凭证，凭证格式与原交易保持一致，不做修改。</w:t>
      </w:r>
    </w:p>
    <w:p>
      <w:pPr>
        <w:pStyle w:val="5"/>
        <w:tabs>
          <w:tab w:val="clear" w:pos="1146"/>
        </w:tabs>
        <w:spacing w:beforeLines="0" w:afterLines="0"/>
        <w:ind w:left="709" w:hanging="709"/>
        <w:rPr>
          <w:color w:val="000000"/>
        </w:rPr>
      </w:pPr>
      <w:bookmarkStart w:id="79" w:name="_Toc437960707"/>
      <w:r>
        <w:rPr>
          <w:rFonts w:hint="eastAsia"/>
          <w:color w:val="000000"/>
        </w:rPr>
        <w:t>会计分录</w:t>
      </w:r>
      <w:bookmarkEnd w:id="79"/>
    </w:p>
    <w:p>
      <w:pPr>
        <w:pStyle w:val="107"/>
        <w:ind w:firstLine="735" w:firstLineChars="350"/>
        <w:rPr>
          <w:color w:val="000000"/>
          <w:sz w:val="21"/>
          <w:szCs w:val="21"/>
          <w:lang w:val="en-US"/>
        </w:rPr>
      </w:pPr>
      <w:r>
        <w:rPr>
          <w:rFonts w:hint="eastAsia"/>
          <w:b/>
          <w:color w:val="000000"/>
          <w:sz w:val="21"/>
          <w:szCs w:val="21"/>
          <w:lang w:val="en-US"/>
        </w:rPr>
        <w:t>部分扣划</w:t>
      </w:r>
      <w:r>
        <w:rPr>
          <w:rFonts w:hint="eastAsia"/>
          <w:color w:val="000000"/>
          <w:sz w:val="21"/>
          <w:szCs w:val="21"/>
          <w:lang w:val="en-US"/>
        </w:rPr>
        <w:t>：</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firstLine="735" w:firstLineChars="350"/>
        <w:rPr>
          <w:color w:val="000000"/>
          <w:sz w:val="21"/>
          <w:szCs w:val="21"/>
          <w:lang w:val="en-US"/>
        </w:rPr>
      </w:pPr>
      <w:r>
        <w:rPr>
          <w:rFonts w:hint="eastAsia"/>
          <w:color w:val="000000"/>
          <w:sz w:val="21"/>
          <w:szCs w:val="21"/>
          <w:lang w:val="en-US"/>
        </w:rPr>
        <w:t>存在利息损失：</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525" w:firstLine="735" w:firstLineChars="350"/>
        <w:rPr>
          <w:color w:val="000000"/>
          <w:sz w:val="21"/>
          <w:szCs w:val="21"/>
          <w:lang w:val="en-US"/>
        </w:rPr>
      </w:pPr>
      <w:r>
        <w:rPr>
          <w:rFonts w:hint="eastAsia"/>
          <w:color w:val="000000"/>
          <w:sz w:val="21"/>
          <w:szCs w:val="21"/>
          <w:lang w:val="en-US"/>
        </w:rPr>
        <w:t>贷：扣划账户</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945" w:firstLine="315" w:firstLineChars="150"/>
        <w:rPr>
          <w:color w:val="000000"/>
          <w:sz w:val="21"/>
          <w:szCs w:val="21"/>
          <w:lang w:val="en-US"/>
        </w:rPr>
      </w:pPr>
      <w:r>
        <w:rPr>
          <w:rFonts w:hint="eastAsia"/>
          <w:color w:val="000000"/>
          <w:sz w:val="21"/>
          <w:szCs w:val="21"/>
          <w:lang w:val="en-US"/>
        </w:rPr>
        <w:t>贷：定期储蓄存款利息支出</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firstLine="199" w:firstLineChars="95"/>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贷：活期储蓄存款</w:t>
      </w:r>
    </w:p>
    <w:p>
      <w:pPr>
        <w:pStyle w:val="107"/>
        <w:ind w:firstLine="735" w:firstLineChars="350"/>
        <w:rPr>
          <w:color w:val="000000"/>
          <w:sz w:val="21"/>
          <w:szCs w:val="21"/>
          <w:lang w:val="en-US"/>
        </w:rPr>
      </w:pPr>
      <w:r>
        <w:rPr>
          <w:rFonts w:hint="eastAsia"/>
          <w:color w:val="000000"/>
          <w:sz w:val="21"/>
          <w:szCs w:val="21"/>
          <w:lang w:val="en-US"/>
        </w:rPr>
        <w:t>少付利息时：</w:t>
      </w:r>
    </w:p>
    <w:p>
      <w:pPr>
        <w:pStyle w:val="107"/>
        <w:ind w:firstLine="735" w:firstLineChars="350"/>
        <w:rPr>
          <w:color w:val="000000"/>
          <w:sz w:val="21"/>
          <w:szCs w:val="21"/>
          <w:lang w:val="en-US"/>
        </w:rPr>
      </w:pPr>
      <w:r>
        <w:rPr>
          <w:rFonts w:hint="eastAsia"/>
          <w:color w:val="000000"/>
          <w:sz w:val="21"/>
          <w:szCs w:val="21"/>
          <w:lang w:val="en-US"/>
        </w:rPr>
        <w:t>借：应付利息</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贷：稳得利存款</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贷：扣划账户</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firstLine="174" w:firstLineChars="83"/>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贷：活期储蓄存款（或现金）</w:t>
      </w:r>
      <w:r>
        <w:rPr>
          <w:rFonts w:hint="eastAsia"/>
          <w:color w:val="000000"/>
          <w:sz w:val="21"/>
          <w:szCs w:val="21"/>
          <w:lang w:val="en-US"/>
        </w:rPr>
        <w:tab/>
      </w:r>
    </w:p>
    <w:p>
      <w:pPr>
        <w:pStyle w:val="107"/>
        <w:ind w:firstLine="422"/>
        <w:rPr>
          <w:b/>
          <w:color w:val="000000"/>
          <w:sz w:val="21"/>
          <w:szCs w:val="21"/>
          <w:lang w:val="en-US"/>
        </w:rPr>
      </w:pPr>
      <w:r>
        <w:rPr>
          <w:rFonts w:hint="eastAsia"/>
          <w:b/>
          <w:color w:val="000000"/>
          <w:sz w:val="21"/>
          <w:szCs w:val="21"/>
          <w:lang w:val="en-US"/>
        </w:rPr>
        <w:t>全部扣划</w:t>
      </w:r>
    </w:p>
    <w:p>
      <w:pPr>
        <w:pStyle w:val="107"/>
        <w:ind w:firstLine="735" w:firstLineChars="350"/>
        <w:rPr>
          <w:color w:val="000000"/>
          <w:sz w:val="21"/>
          <w:szCs w:val="21"/>
          <w:lang w:val="en-US"/>
        </w:rPr>
      </w:pPr>
      <w:r>
        <w:rPr>
          <w:rFonts w:hint="eastAsia"/>
          <w:color w:val="000000"/>
          <w:sz w:val="21"/>
          <w:szCs w:val="21"/>
          <w:lang w:val="en-US"/>
        </w:rPr>
        <w:t>存在利息损失：</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525" w:firstLine="735" w:firstLineChars="350"/>
        <w:rPr>
          <w:color w:val="000000"/>
          <w:sz w:val="21"/>
          <w:szCs w:val="21"/>
          <w:lang w:val="en-US"/>
        </w:rPr>
      </w:pPr>
      <w:r>
        <w:rPr>
          <w:rFonts w:hint="eastAsia"/>
          <w:color w:val="000000"/>
          <w:sz w:val="21"/>
          <w:szCs w:val="21"/>
          <w:lang w:val="en-US"/>
        </w:rPr>
        <w:t>贷：扣划账户</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left="945" w:firstLine="315" w:firstLineChars="150"/>
        <w:rPr>
          <w:color w:val="000000"/>
          <w:lang w:val="en-US"/>
        </w:rPr>
      </w:pPr>
      <w:r>
        <w:rPr>
          <w:rFonts w:hint="eastAsia"/>
          <w:color w:val="000000"/>
          <w:sz w:val="21"/>
          <w:szCs w:val="21"/>
          <w:lang w:val="en-US"/>
        </w:rPr>
        <w:t>贷：定期储蓄存款利息支出</w:t>
      </w:r>
    </w:p>
    <w:p>
      <w:pPr>
        <w:pStyle w:val="107"/>
        <w:ind w:firstLine="735" w:firstLineChars="350"/>
        <w:rPr>
          <w:color w:val="000000"/>
          <w:sz w:val="21"/>
          <w:szCs w:val="21"/>
          <w:lang w:val="en-US"/>
        </w:rPr>
      </w:pPr>
      <w:r>
        <w:rPr>
          <w:rFonts w:hint="eastAsia"/>
          <w:color w:val="000000"/>
          <w:sz w:val="21"/>
          <w:szCs w:val="21"/>
          <w:lang w:val="en-US"/>
        </w:rPr>
        <w:t>少付利息时：</w:t>
      </w:r>
    </w:p>
    <w:p>
      <w:pPr>
        <w:pStyle w:val="107"/>
        <w:ind w:firstLine="735" w:firstLineChars="350"/>
        <w:rPr>
          <w:color w:val="000000"/>
          <w:sz w:val="21"/>
          <w:szCs w:val="21"/>
          <w:lang w:val="en-US"/>
        </w:rPr>
      </w:pPr>
      <w:r>
        <w:rPr>
          <w:rFonts w:hint="eastAsia"/>
          <w:color w:val="000000"/>
          <w:sz w:val="21"/>
          <w:szCs w:val="21"/>
          <w:lang w:val="en-US"/>
        </w:rPr>
        <w:t>借：应付利息</w:t>
      </w:r>
    </w:p>
    <w:p>
      <w:pPr>
        <w:pStyle w:val="107"/>
        <w:ind w:firstLine="735" w:firstLineChars="350"/>
        <w:rPr>
          <w:color w:val="000000"/>
          <w:sz w:val="21"/>
          <w:szCs w:val="21"/>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贷：稳得利存款</w:t>
      </w:r>
    </w:p>
    <w:p>
      <w:pPr>
        <w:pStyle w:val="107"/>
        <w:ind w:firstLine="735" w:firstLineChars="350"/>
        <w:rPr>
          <w:color w:val="000000"/>
          <w:sz w:val="21"/>
          <w:szCs w:val="21"/>
          <w:lang w:val="en-US"/>
        </w:rPr>
      </w:pPr>
      <w:r>
        <w:rPr>
          <w:rFonts w:hint="eastAsia"/>
          <w:color w:val="000000"/>
          <w:sz w:val="21"/>
          <w:szCs w:val="21"/>
          <w:lang w:val="en-US"/>
        </w:rPr>
        <w:t>借：稳得利存款</w:t>
      </w:r>
    </w:p>
    <w:p>
      <w:pPr>
        <w:pStyle w:val="107"/>
        <w:ind w:firstLine="174" w:firstLineChars="83"/>
        <w:rPr>
          <w:color w:val="000000"/>
          <w:lang w:val="en-US"/>
        </w:rPr>
      </w:pP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ab/>
      </w:r>
      <w:r>
        <w:rPr>
          <w:rFonts w:hint="eastAsia"/>
          <w:color w:val="000000"/>
          <w:sz w:val="21"/>
          <w:szCs w:val="21"/>
          <w:lang w:val="en-US"/>
        </w:rPr>
        <w:t>贷：扣划账户</w:t>
      </w:r>
    </w:p>
    <w:p>
      <w:pPr>
        <w:pStyle w:val="5"/>
        <w:tabs>
          <w:tab w:val="clear" w:pos="1146"/>
        </w:tabs>
        <w:spacing w:beforeLines="0" w:afterLines="0"/>
        <w:ind w:left="709" w:hanging="709"/>
        <w:rPr>
          <w:color w:val="000000"/>
        </w:rPr>
      </w:pPr>
      <w:bookmarkStart w:id="80" w:name="_Toc437960708"/>
      <w:r>
        <w:rPr>
          <w:rFonts w:hint="eastAsia"/>
          <w:color w:val="000000"/>
        </w:rPr>
        <w:t>打印格式</w:t>
      </w:r>
      <w:bookmarkEnd w:id="80"/>
    </w:p>
    <w:p>
      <w:pPr>
        <w:pStyle w:val="3"/>
        <w:ind w:firstLineChars="0"/>
        <w:rPr>
          <w:color w:val="000000"/>
        </w:rPr>
      </w:pPr>
      <w:r>
        <w:rPr>
          <w:rFonts w:hint="eastAsia"/>
          <w:color w:val="000000"/>
        </w:rPr>
        <w:t>除账户扣划凭证，通用凭证原凭证外，增加剩余本金自动入收益账户的凭证B</w:t>
      </w:r>
    </w:p>
    <w:p>
      <w:pPr>
        <w:pStyle w:val="3"/>
        <w:spacing w:line="360" w:lineRule="auto"/>
        <w:ind w:firstLine="0" w:firstLineChars="0"/>
        <w:rPr>
          <w:color w:val="000000"/>
          <w:szCs w:val="21"/>
        </w:rPr>
      </w:pPr>
      <w:r>
        <w:rPr>
          <w:rFonts w:hint="eastAsia"/>
          <w:color w:val="000000"/>
          <w:szCs w:val="21"/>
        </w:rPr>
        <w:t>存款利息凭证，通用凭证B</w:t>
      </w:r>
    </w:p>
    <w:p>
      <w:pPr>
        <w:pStyle w:val="4"/>
        <w:tabs>
          <w:tab w:val="clear" w:pos="576"/>
        </w:tabs>
        <w:spacing w:beforeLines="0" w:afterLines="0"/>
        <w:rPr>
          <w:color w:val="000000"/>
        </w:rPr>
      </w:pPr>
      <w:bookmarkStart w:id="81" w:name="_Toc437960709"/>
      <w:r>
        <w:rPr>
          <w:rFonts w:hint="eastAsia"/>
          <w:color w:val="000000"/>
        </w:rPr>
        <w:t>出具存款证明</w:t>
      </w:r>
      <w:bookmarkEnd w:id="81"/>
    </w:p>
    <w:p>
      <w:pPr>
        <w:pStyle w:val="5"/>
        <w:tabs>
          <w:tab w:val="clear" w:pos="1146"/>
        </w:tabs>
        <w:spacing w:beforeLines="0" w:afterLines="0"/>
        <w:ind w:left="709" w:hanging="709"/>
        <w:rPr>
          <w:color w:val="000000"/>
        </w:rPr>
      </w:pPr>
      <w:bookmarkStart w:id="82" w:name="_Toc437960710"/>
      <w:r>
        <w:rPr>
          <w:rFonts w:hint="eastAsia"/>
          <w:color w:val="000000"/>
        </w:rPr>
        <w:t>需求编号</w:t>
      </w:r>
      <w:bookmarkEnd w:id="82"/>
    </w:p>
    <w:p>
      <w:pPr>
        <w:pStyle w:val="5"/>
        <w:tabs>
          <w:tab w:val="clear" w:pos="1146"/>
        </w:tabs>
        <w:spacing w:beforeLines="0" w:afterLines="0"/>
        <w:ind w:left="709" w:hanging="709"/>
        <w:rPr>
          <w:color w:val="000000"/>
        </w:rPr>
      </w:pPr>
      <w:bookmarkStart w:id="83" w:name="_Toc437960711"/>
      <w:r>
        <w:rPr>
          <w:rFonts w:hint="eastAsia"/>
          <w:color w:val="000000"/>
        </w:rPr>
        <w:t>功能描述</w:t>
      </w:r>
      <w:bookmarkEnd w:id="83"/>
    </w:p>
    <w:p>
      <w:pPr>
        <w:pStyle w:val="56"/>
        <w:rPr>
          <w:i w:val="0"/>
          <w:color w:val="000000"/>
        </w:rPr>
      </w:pPr>
      <w:r>
        <w:rPr>
          <w:rFonts w:hint="eastAsia"/>
          <w:i w:val="0"/>
          <w:color w:val="000000"/>
        </w:rPr>
        <w:t>该交易需要支持“稳得利”存单开立存款证明功能。</w:t>
      </w:r>
    </w:p>
    <w:p>
      <w:pPr>
        <w:pStyle w:val="5"/>
        <w:tabs>
          <w:tab w:val="clear" w:pos="1146"/>
        </w:tabs>
        <w:spacing w:beforeLines="0" w:afterLines="0"/>
        <w:ind w:left="709" w:hanging="709"/>
        <w:rPr>
          <w:color w:val="000000"/>
        </w:rPr>
      </w:pPr>
      <w:bookmarkStart w:id="84" w:name="_Toc437960712"/>
      <w:r>
        <w:rPr>
          <w:rFonts w:hint="eastAsia"/>
          <w:color w:val="000000"/>
        </w:rPr>
        <w:t>菜单</w:t>
      </w:r>
      <w:bookmarkEnd w:id="84"/>
    </w:p>
    <w:p>
      <w:pPr>
        <w:pStyle w:val="3"/>
        <w:rPr>
          <w:color w:val="000000"/>
        </w:rPr>
      </w:pPr>
      <w:r>
        <w:rPr>
          <w:rFonts w:hint="eastAsia"/>
          <w:color w:val="000000"/>
        </w:rPr>
        <w:t>存款业务</w:t>
      </w:r>
    </w:p>
    <w:p>
      <w:pPr>
        <w:pStyle w:val="3"/>
        <w:rPr>
          <w:color w:val="000000"/>
        </w:rPr>
      </w:pPr>
      <w:r>
        <w:rPr>
          <w:rFonts w:hint="eastAsia"/>
          <w:color w:val="000000"/>
        </w:rPr>
        <w:tab/>
      </w:r>
      <w:r>
        <w:rPr>
          <w:rFonts w:hint="eastAsia"/>
          <w:color w:val="000000"/>
        </w:rPr>
        <w:t>特殊交易</w:t>
      </w:r>
    </w:p>
    <w:p>
      <w:pPr>
        <w:pStyle w:val="3"/>
        <w:rPr>
          <w:color w:val="000000"/>
        </w:rPr>
      </w:pPr>
      <w:r>
        <w:rPr>
          <w:rFonts w:hint="eastAsia"/>
          <w:color w:val="000000"/>
        </w:rPr>
        <w:tab/>
      </w:r>
      <w:r>
        <w:rPr>
          <w:rFonts w:hint="eastAsia"/>
          <w:color w:val="000000"/>
        </w:rPr>
        <w:tab/>
      </w:r>
      <w:r>
        <w:rPr>
          <w:rFonts w:hint="eastAsia"/>
          <w:color w:val="000000"/>
        </w:rPr>
        <w:t>出具存款证明</w:t>
      </w:r>
    </w:p>
    <w:p>
      <w:pPr>
        <w:pStyle w:val="5"/>
        <w:tabs>
          <w:tab w:val="clear" w:pos="1146"/>
        </w:tabs>
        <w:spacing w:beforeLines="0" w:afterLines="0"/>
        <w:ind w:left="709" w:hanging="709"/>
        <w:rPr>
          <w:color w:val="000000"/>
        </w:rPr>
      </w:pPr>
      <w:bookmarkStart w:id="85" w:name="_Toc437960713"/>
      <w:r>
        <w:rPr>
          <w:rFonts w:hint="eastAsia"/>
          <w:color w:val="000000"/>
        </w:rPr>
        <w:t>输入输出</w:t>
      </w:r>
      <w:bookmarkEnd w:id="85"/>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rPr>
          <w:rFonts w:ascii="Arial" w:hAnsi="Arial" w:cs="Arial"/>
          <w:color w:val="000000"/>
        </w:rPr>
      </w:pPr>
      <w:r>
        <w:rPr>
          <w:rFonts w:hint="eastAsia" w:ascii="Arial" w:hAnsi="Arial" w:cs="Arial"/>
          <w:color w:val="000000"/>
        </w:rPr>
        <w:t>保持原交易界面不变</w:t>
      </w:r>
    </w:p>
    <w:p>
      <w:pPr>
        <w:pStyle w:val="5"/>
        <w:tabs>
          <w:tab w:val="clear" w:pos="1146"/>
        </w:tabs>
        <w:spacing w:beforeLines="0" w:afterLines="0"/>
        <w:ind w:left="709" w:hanging="709"/>
        <w:rPr>
          <w:color w:val="000000"/>
        </w:rPr>
      </w:pPr>
      <w:bookmarkStart w:id="86" w:name="_Toc437960714"/>
      <w:r>
        <w:rPr>
          <w:rFonts w:hint="eastAsia"/>
          <w:color w:val="000000"/>
        </w:rPr>
        <w:t>交易处理</w:t>
      </w:r>
      <w:bookmarkEnd w:id="86"/>
    </w:p>
    <w:p>
      <w:pPr>
        <w:pStyle w:val="3"/>
        <w:numPr>
          <w:ilvl w:val="0"/>
          <w:numId w:val="21"/>
        </w:numPr>
        <w:spacing w:line="360" w:lineRule="auto"/>
        <w:ind w:firstLineChars="0"/>
        <w:rPr>
          <w:color w:val="000000"/>
        </w:rPr>
      </w:pPr>
      <w:r>
        <w:rPr>
          <w:rFonts w:hint="eastAsia"/>
          <w:color w:val="000000"/>
        </w:rPr>
        <w:t xml:space="preserve"> 该交易需要支持“稳得利”存单开立存款证明功能，输入“客户号”后能查询到该客户号下开立的“稳得利”存单信息，柜员对其进行存款证明开立。</w:t>
      </w:r>
    </w:p>
    <w:p>
      <w:pPr>
        <w:pStyle w:val="3"/>
        <w:numPr>
          <w:ilvl w:val="0"/>
          <w:numId w:val="21"/>
        </w:numPr>
        <w:spacing w:line="360" w:lineRule="auto"/>
        <w:ind w:firstLineChars="0"/>
        <w:rPr>
          <w:color w:val="000000"/>
        </w:rPr>
      </w:pPr>
      <w:r>
        <w:rPr>
          <w:rFonts w:hint="eastAsia"/>
          <w:color w:val="000000"/>
        </w:rPr>
        <w:t xml:space="preserve"> 其他处理流程保持不变，不做修改。</w:t>
      </w:r>
    </w:p>
    <w:p>
      <w:pPr>
        <w:pStyle w:val="5"/>
        <w:tabs>
          <w:tab w:val="clear" w:pos="1146"/>
        </w:tabs>
        <w:spacing w:beforeLines="0" w:afterLines="0"/>
        <w:ind w:left="709" w:hanging="709"/>
        <w:rPr>
          <w:color w:val="000000"/>
        </w:rPr>
      </w:pPr>
      <w:bookmarkStart w:id="87" w:name="_Toc437960715"/>
      <w:r>
        <w:rPr>
          <w:rFonts w:hint="eastAsia"/>
          <w:color w:val="000000"/>
        </w:rPr>
        <w:t>会计分录</w:t>
      </w:r>
      <w:bookmarkEnd w:id="87"/>
    </w:p>
    <w:p>
      <w:pPr>
        <w:pStyle w:val="107"/>
        <w:ind w:firstLine="735" w:firstLineChars="350"/>
        <w:rPr>
          <w:color w:val="000000"/>
          <w:lang w:val="en-US"/>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88" w:name="_Toc437960716"/>
      <w:r>
        <w:rPr>
          <w:rFonts w:hint="eastAsia"/>
          <w:color w:val="000000"/>
        </w:rPr>
        <w:t>打印格式</w:t>
      </w:r>
      <w:bookmarkEnd w:id="88"/>
    </w:p>
    <w:p>
      <w:pPr>
        <w:pStyle w:val="3"/>
        <w:spacing w:line="360" w:lineRule="auto"/>
        <w:ind w:left="709" w:firstLine="0" w:firstLineChars="0"/>
        <w:rPr>
          <w:color w:val="000000"/>
          <w:szCs w:val="21"/>
        </w:rPr>
      </w:pPr>
      <w:r>
        <w:rPr>
          <w:rFonts w:hint="eastAsia"/>
          <w:color w:val="000000"/>
          <w:szCs w:val="21"/>
        </w:rPr>
        <w:t>待写</w:t>
      </w:r>
    </w:p>
    <w:p>
      <w:pPr>
        <w:pStyle w:val="4"/>
        <w:tabs>
          <w:tab w:val="clear" w:pos="576"/>
        </w:tabs>
        <w:spacing w:beforeLines="0" w:afterLines="0"/>
        <w:rPr>
          <w:color w:val="000000"/>
        </w:rPr>
      </w:pPr>
      <w:bookmarkStart w:id="89" w:name="_Toc437960717"/>
      <w:r>
        <w:rPr>
          <w:rFonts w:hint="eastAsia"/>
          <w:color w:val="000000"/>
        </w:rPr>
        <w:t>账户支取密码重置/修改</w:t>
      </w:r>
      <w:bookmarkEnd w:id="89"/>
    </w:p>
    <w:p>
      <w:pPr>
        <w:pStyle w:val="5"/>
        <w:tabs>
          <w:tab w:val="clear" w:pos="1146"/>
        </w:tabs>
        <w:spacing w:beforeLines="0" w:afterLines="0"/>
        <w:ind w:left="709" w:hanging="709"/>
        <w:rPr>
          <w:color w:val="000000"/>
        </w:rPr>
      </w:pPr>
      <w:bookmarkStart w:id="90" w:name="_Toc437960718"/>
      <w:r>
        <w:rPr>
          <w:rFonts w:hint="eastAsia"/>
          <w:color w:val="000000"/>
        </w:rPr>
        <w:t>需求编号</w:t>
      </w:r>
      <w:bookmarkEnd w:id="90"/>
    </w:p>
    <w:p>
      <w:pPr>
        <w:pStyle w:val="5"/>
        <w:tabs>
          <w:tab w:val="clear" w:pos="1146"/>
        </w:tabs>
        <w:spacing w:beforeLines="0" w:afterLines="0"/>
        <w:ind w:left="709" w:hanging="709"/>
        <w:rPr>
          <w:color w:val="000000"/>
        </w:rPr>
      </w:pPr>
      <w:bookmarkStart w:id="91" w:name="_Toc437960719"/>
      <w:r>
        <w:rPr>
          <w:rFonts w:hint="eastAsia"/>
          <w:color w:val="000000"/>
        </w:rPr>
        <w:t>功能描述</w:t>
      </w:r>
      <w:bookmarkEnd w:id="91"/>
    </w:p>
    <w:p>
      <w:pPr>
        <w:pStyle w:val="56"/>
        <w:rPr>
          <w:i w:val="0"/>
          <w:color w:val="000000"/>
        </w:rPr>
      </w:pPr>
      <w:r>
        <w:rPr>
          <w:rFonts w:hint="eastAsia"/>
          <w:i w:val="0"/>
          <w:color w:val="000000"/>
        </w:rPr>
        <w:t>该交易需要支持“稳得利”存单密码重置、修改功能。</w:t>
      </w:r>
    </w:p>
    <w:p>
      <w:pPr>
        <w:pStyle w:val="5"/>
        <w:tabs>
          <w:tab w:val="clear" w:pos="1146"/>
        </w:tabs>
        <w:spacing w:beforeLines="0" w:afterLines="0"/>
        <w:ind w:left="709" w:hanging="709"/>
        <w:rPr>
          <w:color w:val="000000"/>
        </w:rPr>
      </w:pPr>
      <w:bookmarkStart w:id="92" w:name="_Toc437960720"/>
      <w:r>
        <w:rPr>
          <w:rFonts w:hint="eastAsia"/>
          <w:color w:val="000000"/>
        </w:rPr>
        <w:t>菜单</w:t>
      </w:r>
      <w:bookmarkEnd w:id="92"/>
    </w:p>
    <w:p>
      <w:pPr>
        <w:pStyle w:val="3"/>
        <w:rPr>
          <w:color w:val="000000"/>
        </w:rPr>
      </w:pPr>
      <w:r>
        <w:rPr>
          <w:rFonts w:hint="eastAsia"/>
          <w:color w:val="000000"/>
        </w:rPr>
        <w:t>存款业务</w:t>
      </w:r>
    </w:p>
    <w:p>
      <w:pPr>
        <w:pStyle w:val="3"/>
        <w:rPr>
          <w:color w:val="000000"/>
        </w:rPr>
      </w:pPr>
      <w:r>
        <w:rPr>
          <w:rFonts w:hint="eastAsia"/>
          <w:color w:val="000000"/>
        </w:rPr>
        <w:tab/>
      </w:r>
      <w:r>
        <w:rPr>
          <w:rFonts w:hint="eastAsia"/>
          <w:color w:val="000000"/>
        </w:rPr>
        <w:t>挂失/账户限制</w:t>
      </w:r>
    </w:p>
    <w:p>
      <w:pPr>
        <w:pStyle w:val="3"/>
        <w:rPr>
          <w:color w:val="000000"/>
        </w:rPr>
      </w:pPr>
      <w:r>
        <w:rPr>
          <w:rFonts w:hint="eastAsia"/>
          <w:color w:val="000000"/>
        </w:rPr>
        <w:t xml:space="preserve">        账户支取密码重置/修改</w:t>
      </w:r>
    </w:p>
    <w:p>
      <w:pPr>
        <w:pStyle w:val="5"/>
        <w:tabs>
          <w:tab w:val="clear" w:pos="1146"/>
        </w:tabs>
        <w:spacing w:beforeLines="0" w:afterLines="0"/>
        <w:ind w:left="709" w:hanging="709"/>
        <w:rPr>
          <w:color w:val="000000"/>
        </w:rPr>
      </w:pPr>
      <w:bookmarkStart w:id="93" w:name="_Toc437960721"/>
      <w:r>
        <w:rPr>
          <w:rFonts w:hint="eastAsia"/>
          <w:color w:val="000000"/>
        </w:rPr>
        <w:t>输入输出</w:t>
      </w:r>
      <w:bookmarkEnd w:id="93"/>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rPr>
          <w:rFonts w:ascii="Arial" w:hAnsi="Arial" w:cs="Arial"/>
          <w:color w:val="000000"/>
        </w:rPr>
      </w:pPr>
      <w:r>
        <w:rPr>
          <w:rFonts w:hint="eastAsia" w:ascii="Arial" w:hAnsi="Arial" w:cs="Arial"/>
          <w:color w:val="000000"/>
        </w:rPr>
        <w:t>保持原交易界面不变</w:t>
      </w:r>
    </w:p>
    <w:p>
      <w:pPr>
        <w:pStyle w:val="5"/>
        <w:tabs>
          <w:tab w:val="clear" w:pos="1146"/>
        </w:tabs>
        <w:spacing w:beforeLines="0" w:afterLines="0"/>
        <w:ind w:left="709" w:hanging="709"/>
        <w:rPr>
          <w:color w:val="000000"/>
        </w:rPr>
      </w:pPr>
      <w:bookmarkStart w:id="94" w:name="_Toc437960722"/>
      <w:r>
        <w:rPr>
          <w:rFonts w:hint="eastAsia"/>
          <w:color w:val="000000"/>
        </w:rPr>
        <w:t>交易处理</w:t>
      </w:r>
      <w:bookmarkEnd w:id="94"/>
    </w:p>
    <w:p>
      <w:pPr>
        <w:pStyle w:val="3"/>
        <w:numPr>
          <w:ilvl w:val="0"/>
          <w:numId w:val="22"/>
        </w:numPr>
        <w:spacing w:line="360" w:lineRule="auto"/>
        <w:ind w:firstLineChars="0"/>
        <w:rPr>
          <w:color w:val="000000"/>
        </w:rPr>
      </w:pPr>
      <w:r>
        <w:rPr>
          <w:rFonts w:hint="eastAsia"/>
          <w:color w:val="000000"/>
        </w:rPr>
        <w:t>该交易需要支持“稳得利”存单密码重置、修改功能。</w:t>
      </w:r>
    </w:p>
    <w:p>
      <w:pPr>
        <w:pStyle w:val="3"/>
        <w:numPr>
          <w:ilvl w:val="0"/>
          <w:numId w:val="22"/>
        </w:numPr>
        <w:spacing w:line="360" w:lineRule="auto"/>
        <w:ind w:firstLineChars="0"/>
        <w:rPr>
          <w:color w:val="000000"/>
        </w:rPr>
      </w:pPr>
      <w:r>
        <w:rPr>
          <w:rFonts w:hint="eastAsia"/>
          <w:color w:val="000000"/>
        </w:rPr>
        <w:t xml:space="preserve"> 其他处理流程保持不变，不做修改。</w:t>
      </w:r>
    </w:p>
    <w:p>
      <w:pPr>
        <w:pStyle w:val="5"/>
        <w:tabs>
          <w:tab w:val="clear" w:pos="1146"/>
        </w:tabs>
        <w:spacing w:beforeLines="0" w:afterLines="0"/>
        <w:ind w:left="709" w:hanging="709"/>
        <w:rPr>
          <w:color w:val="000000"/>
        </w:rPr>
      </w:pPr>
      <w:bookmarkStart w:id="95" w:name="_Toc437960723"/>
      <w:r>
        <w:rPr>
          <w:rFonts w:hint="eastAsia"/>
          <w:color w:val="000000"/>
        </w:rPr>
        <w:t>会计分录</w:t>
      </w:r>
      <w:bookmarkEnd w:id="95"/>
    </w:p>
    <w:p>
      <w:pPr>
        <w:pStyle w:val="107"/>
        <w:ind w:firstLine="735" w:firstLineChars="350"/>
        <w:rPr>
          <w:color w:val="000000"/>
          <w:lang w:val="en-US"/>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96" w:name="_Toc437960724"/>
      <w:r>
        <w:rPr>
          <w:rFonts w:hint="eastAsia"/>
          <w:color w:val="000000"/>
        </w:rPr>
        <w:t>打印格式</w:t>
      </w:r>
      <w:bookmarkEnd w:id="96"/>
    </w:p>
    <w:p>
      <w:pPr>
        <w:pStyle w:val="3"/>
        <w:spacing w:line="360" w:lineRule="auto"/>
        <w:ind w:left="709" w:firstLine="0" w:firstLineChars="0"/>
        <w:rPr>
          <w:color w:val="000000"/>
          <w:szCs w:val="21"/>
        </w:rPr>
      </w:pPr>
      <w:r>
        <w:rPr>
          <w:rFonts w:hint="eastAsia"/>
          <w:color w:val="000000"/>
          <w:szCs w:val="21"/>
        </w:rPr>
        <w:t>待写</w:t>
      </w:r>
    </w:p>
    <w:p>
      <w:pPr>
        <w:pStyle w:val="4"/>
        <w:tabs>
          <w:tab w:val="clear" w:pos="576"/>
        </w:tabs>
        <w:spacing w:beforeLines="0" w:afterLines="0"/>
        <w:rPr>
          <w:color w:val="000000"/>
        </w:rPr>
      </w:pPr>
      <w:bookmarkStart w:id="97" w:name="_Toc437960725"/>
      <w:r>
        <w:rPr>
          <w:rFonts w:hint="eastAsia"/>
          <w:color w:val="000000"/>
        </w:rPr>
        <w:t>稳得利挂失/解挂</w:t>
      </w:r>
      <w:bookmarkEnd w:id="97"/>
    </w:p>
    <w:p>
      <w:pPr>
        <w:pStyle w:val="5"/>
        <w:tabs>
          <w:tab w:val="clear" w:pos="1146"/>
        </w:tabs>
        <w:spacing w:beforeLines="0" w:afterLines="0"/>
        <w:ind w:left="709" w:hanging="709"/>
        <w:rPr>
          <w:color w:val="000000"/>
        </w:rPr>
      </w:pPr>
      <w:bookmarkStart w:id="98" w:name="_Toc437960726"/>
      <w:r>
        <w:rPr>
          <w:rFonts w:hint="eastAsia"/>
          <w:color w:val="000000"/>
        </w:rPr>
        <w:t>需求编号</w:t>
      </w:r>
      <w:bookmarkEnd w:id="98"/>
    </w:p>
    <w:p>
      <w:pPr>
        <w:pStyle w:val="5"/>
        <w:tabs>
          <w:tab w:val="clear" w:pos="1146"/>
        </w:tabs>
        <w:spacing w:beforeLines="0" w:afterLines="0"/>
        <w:ind w:left="709" w:hanging="709"/>
        <w:rPr>
          <w:color w:val="000000"/>
        </w:rPr>
      </w:pPr>
      <w:bookmarkStart w:id="99" w:name="_Toc437960727"/>
      <w:r>
        <w:rPr>
          <w:rFonts w:hint="eastAsia"/>
          <w:color w:val="000000"/>
        </w:rPr>
        <w:t>功能描述</w:t>
      </w:r>
      <w:bookmarkEnd w:id="99"/>
    </w:p>
    <w:p>
      <w:pPr>
        <w:pStyle w:val="56"/>
        <w:rPr>
          <w:i w:val="0"/>
          <w:color w:val="000000"/>
        </w:rPr>
      </w:pPr>
      <w:r>
        <w:rPr>
          <w:rFonts w:hint="eastAsia"/>
          <w:i w:val="0"/>
          <w:color w:val="000000"/>
        </w:rPr>
        <w:t>使用凭证挂失/解挂RB5A，支持“稳得利”存单挂失/解挂功能，（书挂7天后可办理补发，口挂5天后自动解挂），解挂需主管柜员授权。</w:t>
      </w:r>
    </w:p>
    <w:p>
      <w:pPr>
        <w:pStyle w:val="5"/>
        <w:tabs>
          <w:tab w:val="clear" w:pos="1146"/>
        </w:tabs>
        <w:spacing w:beforeLines="0" w:afterLines="0"/>
        <w:ind w:left="709" w:hanging="709"/>
        <w:rPr>
          <w:color w:val="000000"/>
        </w:rPr>
      </w:pPr>
      <w:bookmarkStart w:id="100" w:name="_Toc437960728"/>
      <w:r>
        <w:rPr>
          <w:rFonts w:hint="eastAsia"/>
          <w:color w:val="000000"/>
        </w:rPr>
        <w:t>菜单</w:t>
      </w:r>
      <w:bookmarkEnd w:id="100"/>
    </w:p>
    <w:p>
      <w:pPr>
        <w:pStyle w:val="3"/>
        <w:rPr>
          <w:color w:val="000000"/>
        </w:rPr>
      </w:pPr>
      <w:r>
        <w:rPr>
          <w:rFonts w:hint="eastAsia"/>
          <w:color w:val="000000"/>
        </w:rPr>
        <w:t>存款业务</w:t>
      </w:r>
    </w:p>
    <w:p>
      <w:pPr>
        <w:pStyle w:val="3"/>
        <w:rPr>
          <w:color w:val="000000"/>
        </w:rPr>
      </w:pPr>
      <w:r>
        <w:rPr>
          <w:rFonts w:hint="eastAsia"/>
          <w:color w:val="000000"/>
        </w:rPr>
        <w:tab/>
      </w:r>
      <w:r>
        <w:rPr>
          <w:rFonts w:hint="eastAsia"/>
          <w:color w:val="000000"/>
        </w:rPr>
        <w:t>挂失/账户限制</w:t>
      </w:r>
    </w:p>
    <w:p>
      <w:pPr>
        <w:pStyle w:val="3"/>
        <w:rPr>
          <w:color w:val="000000"/>
        </w:rPr>
      </w:pPr>
      <w:r>
        <w:rPr>
          <w:rFonts w:hint="eastAsia"/>
          <w:color w:val="000000"/>
        </w:rPr>
        <w:t xml:space="preserve">        凭证挂失/解挂</w:t>
      </w:r>
    </w:p>
    <w:p>
      <w:pPr>
        <w:pStyle w:val="5"/>
        <w:tabs>
          <w:tab w:val="clear" w:pos="1146"/>
        </w:tabs>
        <w:spacing w:beforeLines="0" w:afterLines="0"/>
        <w:ind w:left="709" w:hanging="709"/>
        <w:rPr>
          <w:color w:val="000000"/>
        </w:rPr>
      </w:pPr>
      <w:bookmarkStart w:id="101" w:name="_Toc437960729"/>
      <w:r>
        <w:rPr>
          <w:rFonts w:hint="eastAsia"/>
          <w:color w:val="000000"/>
        </w:rPr>
        <w:t>输入输出</w:t>
      </w:r>
      <w:bookmarkEnd w:id="101"/>
    </w:p>
    <w:p>
      <w:pPr>
        <w:rPr>
          <w:rFonts w:ascii="Arial" w:hAnsi="Arial" w:cs="Arial"/>
          <w:color w:val="000000"/>
        </w:rPr>
      </w:pPr>
    </w:p>
    <w:p>
      <w:pPr>
        <w:rPr>
          <w:rFonts w:ascii="Arial" w:hAnsi="Arial" w:cs="Arial"/>
          <w:color w:val="000000"/>
        </w:rPr>
      </w:pPr>
      <w:r>
        <w:rPr>
          <w:rFonts w:ascii="Arial" w:hAnsi="Arial" w:cs="Arial"/>
          <w:color w:val="000000"/>
        </w:rPr>
        <w:t>【</w:t>
      </w:r>
      <w:r>
        <w:rPr>
          <w:rFonts w:hint="eastAsia" w:ascii="Arial" w:hAnsi="Arial" w:cs="Arial"/>
          <w:color w:val="000000"/>
        </w:rPr>
        <w:t>交易界面</w:t>
      </w:r>
      <w:r>
        <w:rPr>
          <w:rFonts w:ascii="Arial" w:hAnsi="Arial" w:cs="Arial"/>
          <w:color w:val="000000"/>
        </w:rPr>
        <w:t>】</w:t>
      </w:r>
    </w:p>
    <w:p>
      <w:pPr>
        <w:rPr>
          <w:rFonts w:ascii="Arial" w:hAnsi="Arial" w:cs="Arial"/>
          <w:color w:val="000000"/>
        </w:rPr>
      </w:pPr>
      <w:r>
        <w:rPr>
          <w:rFonts w:hint="eastAsia" w:ascii="微软雅黑" w:eastAsia="微软雅黑" w:cs="微软雅黑"/>
          <w:color w:val="000000"/>
          <w:kern w:val="0"/>
          <w:sz w:val="24"/>
        </w:rPr>
        <w:drawing>
          <wp:inline distT="0" distB="0" distL="0" distR="0">
            <wp:extent cx="5201920" cy="3269615"/>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noChangeArrowheads="1"/>
                    </pic:cNvPicPr>
                  </pic:nvPicPr>
                  <pic:blipFill>
                    <a:blip r:embed="rId27"/>
                    <a:srcRect/>
                    <a:stretch>
                      <a:fillRect/>
                    </a:stretch>
                  </pic:blipFill>
                  <pic:spPr>
                    <a:xfrm>
                      <a:off x="0" y="0"/>
                      <a:ext cx="5201920" cy="3269615"/>
                    </a:xfrm>
                    <a:prstGeom prst="rect">
                      <a:avLst/>
                    </a:prstGeom>
                    <a:noFill/>
                    <a:ln w="9525">
                      <a:noFill/>
                      <a:miter lim="800000"/>
                      <a:headEnd/>
                      <a:tailEnd/>
                    </a:ln>
                  </pic:spPr>
                </pic:pic>
              </a:graphicData>
            </a:graphic>
          </wp:inline>
        </w:drawing>
      </w:r>
    </w:p>
    <w:p>
      <w:pPr>
        <w:pStyle w:val="5"/>
        <w:tabs>
          <w:tab w:val="clear" w:pos="1146"/>
        </w:tabs>
        <w:spacing w:beforeLines="0" w:afterLines="0"/>
        <w:ind w:left="709" w:hanging="709"/>
        <w:rPr>
          <w:color w:val="000000"/>
        </w:rPr>
      </w:pPr>
      <w:bookmarkStart w:id="102" w:name="_Toc437960730"/>
      <w:r>
        <w:rPr>
          <w:rFonts w:hint="eastAsia"/>
          <w:color w:val="000000"/>
        </w:rPr>
        <w:t>交易处理</w:t>
      </w:r>
      <w:bookmarkEnd w:id="102"/>
    </w:p>
    <w:p>
      <w:pPr>
        <w:pStyle w:val="3"/>
        <w:numPr>
          <w:ilvl w:val="0"/>
          <w:numId w:val="23"/>
        </w:numPr>
        <w:spacing w:line="360" w:lineRule="auto"/>
        <w:ind w:firstLineChars="0"/>
        <w:rPr>
          <w:color w:val="000000"/>
        </w:rPr>
      </w:pPr>
      <w:r>
        <w:rPr>
          <w:rFonts w:hint="eastAsia"/>
          <w:color w:val="000000"/>
        </w:rPr>
        <w:t>该交易支持“稳得利”存单挂失/解挂功能。</w:t>
      </w:r>
    </w:p>
    <w:p>
      <w:pPr>
        <w:pStyle w:val="3"/>
        <w:numPr>
          <w:ilvl w:val="0"/>
          <w:numId w:val="23"/>
        </w:numPr>
        <w:spacing w:line="360" w:lineRule="auto"/>
        <w:ind w:firstLineChars="0"/>
        <w:rPr>
          <w:color w:val="FF0000"/>
        </w:rPr>
      </w:pPr>
      <w:r>
        <w:rPr>
          <w:rFonts w:hint="eastAsia"/>
          <w:color w:val="000000"/>
        </w:rPr>
        <w:t>挂失/解挂方式分为：口头挂失、正式挂失、口头解挂、正式解挂。</w:t>
      </w:r>
    </w:p>
    <w:p>
      <w:pPr>
        <w:pStyle w:val="3"/>
        <w:numPr>
          <w:ilvl w:val="0"/>
          <w:numId w:val="23"/>
        </w:numPr>
        <w:spacing w:line="360" w:lineRule="auto"/>
        <w:ind w:firstLineChars="0"/>
        <w:rPr>
          <w:color w:val="000000"/>
        </w:rPr>
      </w:pPr>
      <w:r>
        <w:rPr>
          <w:rFonts w:hint="eastAsia"/>
          <w:color w:val="000000"/>
        </w:rPr>
        <w:t>口头挂失时，需要验证稳得利账户的密码的正确性，密码正确后再进行下一操作，同时“是否止付账户”默认为止付账户，挂失成功后，存单状态由出售状态更新为挂失状态。</w:t>
      </w:r>
    </w:p>
    <w:p>
      <w:pPr>
        <w:pStyle w:val="3"/>
        <w:numPr>
          <w:ilvl w:val="0"/>
          <w:numId w:val="23"/>
        </w:numPr>
        <w:spacing w:line="360" w:lineRule="auto"/>
        <w:ind w:firstLineChars="0"/>
        <w:rPr>
          <w:color w:val="000000"/>
        </w:rPr>
      </w:pPr>
      <w:r>
        <w:rPr>
          <w:rFonts w:hint="eastAsia"/>
          <w:color w:val="000000"/>
        </w:rPr>
        <w:t>正式挂失时，需要验证稳得利账户的密码的正确性，密码正确后再进行下一操作，“是否止付账户”由柜员自己选择止付账户还是不止付账户，挂失成功后，存单状态由出售状态更新为挂失状态。</w:t>
      </w:r>
    </w:p>
    <w:p>
      <w:pPr>
        <w:pStyle w:val="3"/>
        <w:numPr>
          <w:ilvl w:val="0"/>
          <w:numId w:val="23"/>
        </w:numPr>
        <w:spacing w:line="360" w:lineRule="auto"/>
        <w:ind w:firstLineChars="0"/>
        <w:rPr>
          <w:color w:val="000000"/>
        </w:rPr>
      </w:pPr>
      <w:r>
        <w:rPr>
          <w:rFonts w:hint="eastAsia"/>
          <w:color w:val="000000"/>
        </w:rPr>
        <w:t>挂失后如果选择止付账户，在挂失期间遇账户结息，将“稳得利”存单定期结息金额挂帐，待灵活账户状态正常后由柜员手工进行利息划转。</w:t>
      </w:r>
    </w:p>
    <w:p>
      <w:pPr>
        <w:pStyle w:val="3"/>
        <w:numPr>
          <w:ilvl w:val="0"/>
          <w:numId w:val="23"/>
        </w:numPr>
        <w:spacing w:line="360" w:lineRule="auto"/>
        <w:ind w:firstLineChars="0"/>
        <w:rPr>
          <w:color w:val="000000"/>
        </w:rPr>
      </w:pPr>
      <w:r>
        <w:rPr>
          <w:rFonts w:hint="eastAsia"/>
          <w:color w:val="000000"/>
        </w:rPr>
        <w:t>口头解挂、正式解挂时不需要输入稳得利账户密码。</w:t>
      </w:r>
    </w:p>
    <w:p>
      <w:pPr>
        <w:pStyle w:val="3"/>
        <w:numPr>
          <w:ilvl w:val="0"/>
          <w:numId w:val="23"/>
        </w:numPr>
        <w:spacing w:line="360" w:lineRule="auto"/>
        <w:ind w:firstLineChars="0"/>
        <w:rPr>
          <w:color w:val="000000"/>
        </w:rPr>
      </w:pPr>
      <w:r>
        <w:rPr>
          <w:rFonts w:hint="eastAsia"/>
          <w:color w:val="000000"/>
        </w:rPr>
        <w:t>挂失时，挂失编号由系统自动生成；解挂时，挂失编号手工输入，必输。</w:t>
      </w:r>
    </w:p>
    <w:p>
      <w:pPr>
        <w:pStyle w:val="5"/>
        <w:tabs>
          <w:tab w:val="clear" w:pos="1146"/>
        </w:tabs>
        <w:spacing w:beforeLines="0" w:afterLines="0"/>
        <w:ind w:left="709" w:hanging="709"/>
        <w:rPr>
          <w:color w:val="000000"/>
        </w:rPr>
      </w:pPr>
      <w:bookmarkStart w:id="103" w:name="_Toc437960731"/>
      <w:r>
        <w:rPr>
          <w:rFonts w:hint="eastAsia"/>
          <w:color w:val="000000"/>
        </w:rPr>
        <w:t>会计分录</w:t>
      </w:r>
      <w:bookmarkEnd w:id="103"/>
    </w:p>
    <w:p>
      <w:pPr>
        <w:pStyle w:val="107"/>
        <w:ind w:firstLine="735" w:firstLineChars="350"/>
        <w:rPr>
          <w:color w:val="000000"/>
          <w:lang w:val="en-US"/>
        </w:rPr>
      </w:pPr>
      <w:r>
        <w:rPr>
          <w:rFonts w:hint="eastAsia"/>
          <w:color w:val="000000"/>
          <w:sz w:val="21"/>
          <w:szCs w:val="21"/>
          <w:lang w:val="en-US"/>
        </w:rPr>
        <w:t>无</w:t>
      </w:r>
    </w:p>
    <w:p>
      <w:pPr>
        <w:pStyle w:val="5"/>
        <w:tabs>
          <w:tab w:val="clear" w:pos="1146"/>
        </w:tabs>
        <w:spacing w:beforeLines="0" w:afterLines="0"/>
        <w:ind w:left="709" w:hanging="709"/>
        <w:rPr>
          <w:color w:val="000000"/>
        </w:rPr>
      </w:pPr>
      <w:bookmarkStart w:id="104" w:name="_Toc437960732"/>
      <w:r>
        <w:rPr>
          <w:rFonts w:hint="eastAsia"/>
          <w:color w:val="000000"/>
        </w:rPr>
        <w:t>打印格式</w:t>
      </w:r>
      <w:bookmarkEnd w:id="104"/>
    </w:p>
    <w:p>
      <w:pPr>
        <w:pStyle w:val="3"/>
      </w:pPr>
      <w:r>
        <w:rPr>
          <w:rFonts w:hint="eastAsia"/>
        </w:rPr>
        <w:t>同普通账户类型</w:t>
      </w:r>
    </w:p>
    <w:p>
      <w:pPr>
        <w:pStyle w:val="4"/>
        <w:tabs>
          <w:tab w:val="clear" w:pos="576"/>
        </w:tabs>
        <w:spacing w:beforeLines="0" w:afterLines="0"/>
        <w:rPr>
          <w:color w:val="000000"/>
        </w:rPr>
      </w:pPr>
      <w:bookmarkStart w:id="105" w:name="_Toc437960733"/>
      <w:r>
        <w:rPr>
          <w:rFonts w:hint="eastAsia"/>
          <w:color w:val="000000"/>
        </w:rPr>
        <w:t>计息、结息规则</w:t>
      </w:r>
      <w:bookmarkEnd w:id="105"/>
    </w:p>
    <w:p>
      <w:pPr>
        <w:pStyle w:val="5"/>
        <w:tabs>
          <w:tab w:val="clear" w:pos="1146"/>
        </w:tabs>
        <w:spacing w:beforeLines="0" w:afterLines="0"/>
        <w:ind w:left="709" w:hanging="709"/>
        <w:rPr>
          <w:color w:val="000000"/>
        </w:rPr>
      </w:pPr>
      <w:bookmarkStart w:id="106" w:name="_Toc437960734"/>
      <w:r>
        <w:rPr>
          <w:rFonts w:hint="eastAsia"/>
          <w:color w:val="000000"/>
        </w:rPr>
        <w:t>业务功能描述</w:t>
      </w:r>
      <w:bookmarkEnd w:id="106"/>
    </w:p>
    <w:p>
      <w:pPr>
        <w:pStyle w:val="61"/>
        <w:ind w:left="420" w:firstLine="0" w:firstLineChars="0"/>
        <w:rPr>
          <w:rFonts w:ascii="微软雅黑" w:hAnsi="微软雅黑" w:eastAsia="微软雅黑"/>
          <w:color w:val="FF0000"/>
          <w:sz w:val="24"/>
        </w:rPr>
      </w:pPr>
      <w:r>
        <w:rPr>
          <w:rFonts w:hint="eastAsia" w:ascii="微软雅黑" w:hAnsi="微软雅黑" w:eastAsia="微软雅黑"/>
          <w:color w:val="FF0000"/>
          <w:sz w:val="24"/>
        </w:rPr>
        <w:t>客户存款时提前约定按年设置结息点。利息入客户本金账户。</w:t>
      </w:r>
    </w:p>
    <w:p>
      <w:pPr>
        <w:ind w:firstLine="480" w:firstLineChars="200"/>
        <w:rPr>
          <w:rFonts w:ascii="微软雅黑" w:hAnsi="微软雅黑" w:eastAsia="微软雅黑"/>
          <w:color w:val="FF0000"/>
          <w:sz w:val="24"/>
        </w:rPr>
      </w:pPr>
      <w:r>
        <w:rPr>
          <w:rFonts w:hint="eastAsia" w:ascii="微软雅黑" w:hAnsi="微软雅黑" w:eastAsia="微软雅黑"/>
          <w:color w:val="FF0000"/>
          <w:sz w:val="24"/>
        </w:rPr>
        <w:t>按年结息的每期利息结转金额</w:t>
      </w:r>
      <w:r>
        <w:rPr>
          <w:rFonts w:ascii="微软雅黑" w:hAnsi="微软雅黑" w:eastAsia="微软雅黑"/>
          <w:color w:val="FF0000"/>
          <w:sz w:val="24"/>
        </w:rPr>
        <w:t>=</w:t>
      </w:r>
      <w:r>
        <w:rPr>
          <w:rFonts w:hint="eastAsia" w:ascii="微软雅黑" w:hAnsi="微软雅黑" w:eastAsia="微软雅黑"/>
          <w:color w:val="FF0000"/>
          <w:sz w:val="24"/>
        </w:rPr>
        <w:t>“稳得利”本金×年利率（存入日我行挂牌执行的对应期整存整取定期储蓄利率）。</w:t>
      </w:r>
    </w:p>
    <w:p>
      <w:pPr>
        <w:pStyle w:val="2"/>
        <w:spacing w:before="156" w:after="156"/>
        <w:rPr>
          <w:rFonts w:ascii="宋体" w:hAnsi="宋体"/>
        </w:rPr>
      </w:pPr>
      <w:r>
        <w:rPr>
          <w:rFonts w:hint="eastAsia" w:ascii="宋体" w:hAnsi="宋体"/>
        </w:rPr>
        <w:t>附件一</w:t>
      </w:r>
    </w:p>
    <w:p>
      <w:pPr>
        <w:pStyle w:val="61"/>
        <w:ind w:left="420" w:firstLine="0" w:firstLineChars="0"/>
        <w:rPr>
          <w:rFonts w:ascii="微软雅黑" w:hAnsi="微软雅黑" w:eastAsia="微软雅黑"/>
          <w:sz w:val="24"/>
        </w:rPr>
      </w:pPr>
      <w:r>
        <w:rPr>
          <w:rFonts w:hint="eastAsia" w:ascii="微软雅黑" w:hAnsi="微软雅黑" w:eastAsia="微软雅黑"/>
          <w:sz w:val="24"/>
        </w:rPr>
        <w:t>为方便客户在急用钱的时候既能提取本金又能锁定高收益，特推出“靠档计息”。</w:t>
      </w:r>
    </w:p>
    <w:p>
      <w:pPr>
        <w:pStyle w:val="61"/>
        <w:ind w:left="420" w:firstLine="0" w:firstLineChars="0"/>
        <w:rPr>
          <w:rFonts w:ascii="微软雅黑" w:hAnsi="微软雅黑" w:eastAsia="微软雅黑"/>
          <w:sz w:val="24"/>
        </w:rPr>
      </w:pPr>
      <w:r>
        <w:rPr>
          <w:rFonts w:hint="eastAsia" w:ascii="微软雅黑" w:hAnsi="微软雅黑" w:eastAsia="微软雅黑"/>
          <w:sz w:val="24"/>
        </w:rPr>
        <w:t>客户存入时，确认存期（参考二、期限），存单上打印对应存期的挂牌利率，以及按照存期和利率预算的利息金额。</w:t>
      </w:r>
    </w:p>
    <w:p>
      <w:pPr>
        <w:pStyle w:val="61"/>
        <w:ind w:left="420" w:firstLine="0" w:firstLineChars="0"/>
        <w:rPr>
          <w:rFonts w:ascii="微软雅黑" w:hAnsi="微软雅黑" w:eastAsia="微软雅黑"/>
          <w:sz w:val="24"/>
        </w:rPr>
      </w:pPr>
      <w:r>
        <w:rPr>
          <w:rFonts w:hint="eastAsia" w:ascii="微软雅黑" w:hAnsi="微软雅黑" w:eastAsia="微软雅黑"/>
          <w:sz w:val="24"/>
        </w:rPr>
        <w:t>支付时，必须全额支取。</w:t>
      </w:r>
    </w:p>
    <w:p>
      <w:pPr>
        <w:pStyle w:val="61"/>
        <w:ind w:left="420" w:firstLine="0" w:firstLineChars="0"/>
        <w:rPr>
          <w:rFonts w:ascii="微软雅黑" w:hAnsi="微软雅黑" w:eastAsia="微软雅黑"/>
          <w:sz w:val="24"/>
        </w:rPr>
      </w:pPr>
      <w:r>
        <w:rPr>
          <w:rFonts w:hint="eastAsia" w:ascii="微软雅黑" w:hAnsi="微软雅黑" w:eastAsia="微软雅黑"/>
          <w:sz w:val="24"/>
        </w:rPr>
        <w:t>如未到存期时支付，按提前支付处理，采用靠挡计息：</w:t>
      </w:r>
    </w:p>
    <w:p>
      <w:pPr>
        <w:rPr>
          <w:rFonts w:ascii="微软雅黑" w:hAnsi="微软雅黑" w:eastAsia="微软雅黑"/>
          <w:b/>
          <w:sz w:val="24"/>
        </w:rPr>
      </w:pPr>
      <w:r>
        <w:rPr>
          <w:rFonts w:ascii="微软雅黑" w:hAnsi="微软雅黑" w:eastAsia="微软雅黑"/>
          <w:sz w:val="24"/>
        </w:rPr>
        <w:tab/>
      </w:r>
    </w:p>
    <w:tbl>
      <w:tblPr>
        <w:tblStyle w:val="45"/>
        <w:tblW w:w="11887" w:type="dxa"/>
        <w:jc w:val="center"/>
        <w:tblInd w:w="93" w:type="dxa"/>
        <w:tblLayout w:type="fixed"/>
        <w:tblCellMar>
          <w:top w:w="0" w:type="dxa"/>
          <w:left w:w="108" w:type="dxa"/>
          <w:bottom w:w="0" w:type="dxa"/>
          <w:right w:w="108" w:type="dxa"/>
        </w:tblCellMar>
      </w:tblPr>
      <w:tblGrid>
        <w:gridCol w:w="640"/>
        <w:gridCol w:w="1260"/>
        <w:gridCol w:w="640"/>
        <w:gridCol w:w="520"/>
        <w:gridCol w:w="520"/>
        <w:gridCol w:w="520"/>
        <w:gridCol w:w="549"/>
        <w:gridCol w:w="549"/>
        <w:gridCol w:w="549"/>
        <w:gridCol w:w="660"/>
        <w:gridCol w:w="660"/>
        <w:gridCol w:w="4820"/>
      </w:tblGrid>
      <w:tr>
        <w:tblPrEx>
          <w:tblLayout w:type="fixed"/>
          <w:tblCellMar>
            <w:top w:w="0" w:type="dxa"/>
            <w:left w:w="108" w:type="dxa"/>
            <w:bottom w:w="0" w:type="dxa"/>
            <w:right w:w="108" w:type="dxa"/>
          </w:tblCellMar>
        </w:tblPrEx>
        <w:trPr>
          <w:trHeight w:val="270" w:hRule="atLeast"/>
          <w:jc w:val="center"/>
        </w:trPr>
        <w:tc>
          <w:tcPr>
            <w:tcW w:w="640" w:type="dxa"/>
            <w:tcBorders>
              <w:top w:val="single" w:color="auto" w:sz="4" w:space="0"/>
              <w:left w:val="single" w:color="auto" w:sz="4" w:space="0"/>
              <w:bottom w:val="single" w:color="auto" w:sz="4" w:space="0"/>
              <w:right w:val="single" w:color="auto" w:sz="4" w:space="0"/>
            </w:tcBorders>
            <w:shd w:val="clear" w:color="000000" w:fill="FFFF00"/>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126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基准存期</w:t>
            </w:r>
          </w:p>
        </w:tc>
        <w:tc>
          <w:tcPr>
            <w:tcW w:w="64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活期</w:t>
            </w:r>
          </w:p>
        </w:tc>
        <w:tc>
          <w:tcPr>
            <w:tcW w:w="52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1</w:t>
            </w:r>
            <w:r>
              <w:rPr>
                <w:rFonts w:hint="eastAsia" w:ascii="宋体" w:hAnsi="宋体" w:cs="宋体"/>
                <w:b/>
                <w:bCs/>
                <w:color w:val="000000"/>
                <w:kern w:val="0"/>
                <w:sz w:val="22"/>
              </w:rPr>
              <w:t>天</w:t>
            </w:r>
          </w:p>
        </w:tc>
        <w:tc>
          <w:tcPr>
            <w:tcW w:w="52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7</w:t>
            </w:r>
            <w:r>
              <w:rPr>
                <w:rFonts w:hint="eastAsia" w:ascii="宋体" w:hAnsi="宋体" w:cs="宋体"/>
                <w:b/>
                <w:bCs/>
                <w:color w:val="000000"/>
                <w:kern w:val="0"/>
                <w:sz w:val="22"/>
              </w:rPr>
              <w:t>天</w:t>
            </w:r>
          </w:p>
        </w:tc>
        <w:tc>
          <w:tcPr>
            <w:tcW w:w="52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3</w:t>
            </w:r>
            <w:r>
              <w:rPr>
                <w:rFonts w:hint="eastAsia" w:ascii="宋体" w:hAnsi="宋体" w:cs="宋体"/>
                <w:b/>
                <w:bCs/>
                <w:color w:val="000000"/>
                <w:kern w:val="0"/>
                <w:sz w:val="22"/>
              </w:rPr>
              <w:t>月</w:t>
            </w:r>
          </w:p>
        </w:tc>
        <w:tc>
          <w:tcPr>
            <w:tcW w:w="54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6</w:t>
            </w:r>
            <w:r>
              <w:rPr>
                <w:rFonts w:hint="eastAsia" w:ascii="宋体" w:hAnsi="宋体" w:cs="宋体"/>
                <w:b/>
                <w:bCs/>
                <w:color w:val="000000"/>
                <w:kern w:val="0"/>
                <w:sz w:val="22"/>
              </w:rPr>
              <w:t>月</w:t>
            </w:r>
          </w:p>
        </w:tc>
        <w:tc>
          <w:tcPr>
            <w:tcW w:w="54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1</w:t>
            </w:r>
            <w:r>
              <w:rPr>
                <w:rFonts w:hint="eastAsia" w:ascii="宋体" w:hAnsi="宋体" w:cs="宋体"/>
                <w:b/>
                <w:bCs/>
                <w:color w:val="000000"/>
                <w:kern w:val="0"/>
                <w:sz w:val="22"/>
              </w:rPr>
              <w:t>年</w:t>
            </w:r>
          </w:p>
        </w:tc>
        <w:tc>
          <w:tcPr>
            <w:tcW w:w="549"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2</w:t>
            </w:r>
            <w:r>
              <w:rPr>
                <w:rFonts w:hint="eastAsia" w:ascii="宋体" w:hAnsi="宋体" w:cs="宋体"/>
                <w:b/>
                <w:bCs/>
                <w:color w:val="000000"/>
                <w:kern w:val="0"/>
                <w:sz w:val="22"/>
              </w:rPr>
              <w:t>年</w:t>
            </w:r>
          </w:p>
        </w:tc>
        <w:tc>
          <w:tcPr>
            <w:tcW w:w="66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3</w:t>
            </w:r>
            <w:r>
              <w:rPr>
                <w:rFonts w:hint="eastAsia" w:ascii="宋体" w:hAnsi="宋体" w:cs="宋体"/>
                <w:b/>
                <w:bCs/>
                <w:color w:val="000000"/>
                <w:kern w:val="0"/>
                <w:sz w:val="22"/>
              </w:rPr>
              <w:t>年</w:t>
            </w:r>
          </w:p>
        </w:tc>
        <w:tc>
          <w:tcPr>
            <w:tcW w:w="66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ascii="宋体" w:hAnsi="宋体" w:cs="宋体"/>
                <w:b/>
                <w:bCs/>
                <w:color w:val="000000"/>
                <w:kern w:val="0"/>
                <w:sz w:val="22"/>
              </w:rPr>
              <w:t>5</w:t>
            </w:r>
            <w:r>
              <w:rPr>
                <w:rFonts w:hint="eastAsia" w:ascii="宋体" w:hAnsi="宋体" w:cs="宋体"/>
                <w:b/>
                <w:bCs/>
                <w:color w:val="000000"/>
                <w:kern w:val="0"/>
                <w:sz w:val="22"/>
              </w:rPr>
              <w:t>年</w:t>
            </w:r>
          </w:p>
        </w:tc>
        <w:tc>
          <w:tcPr>
            <w:tcW w:w="4820" w:type="dxa"/>
            <w:tcBorders>
              <w:top w:val="single" w:color="auto" w:sz="4" w:space="0"/>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靠档计息说明</w:t>
            </w:r>
            <w:r>
              <w:rPr>
                <w:rFonts w:ascii="宋体" w:hAnsi="宋体" w:cs="宋体"/>
                <w:b/>
                <w:bCs/>
                <w:color w:val="000000"/>
                <w:kern w:val="0"/>
                <w:sz w:val="22"/>
              </w:rPr>
              <w:t>(</w:t>
            </w:r>
            <w:r>
              <w:rPr>
                <w:rFonts w:hint="eastAsia" w:ascii="宋体" w:hAnsi="宋体" w:cs="宋体"/>
                <w:b/>
                <w:bCs/>
                <w:color w:val="000000"/>
                <w:kern w:val="0"/>
                <w:sz w:val="22"/>
              </w:rPr>
              <w:t>按基准定期期限分段计息）</w:t>
            </w:r>
          </w:p>
        </w:tc>
      </w:tr>
      <w:tr>
        <w:tblPrEx>
          <w:tblLayout w:type="fixed"/>
          <w:tblCellMar>
            <w:top w:w="0" w:type="dxa"/>
            <w:left w:w="108" w:type="dxa"/>
            <w:bottom w:w="0" w:type="dxa"/>
            <w:right w:w="108" w:type="dxa"/>
          </w:tblCellMar>
        </w:tblPrEx>
        <w:trPr>
          <w:trHeight w:val="270" w:hRule="atLeast"/>
          <w:jc w:val="center"/>
        </w:trPr>
        <w:tc>
          <w:tcPr>
            <w:tcW w:w="640" w:type="dxa"/>
            <w:tcBorders>
              <w:top w:val="nil"/>
              <w:left w:val="single" w:color="auto" w:sz="4" w:space="0"/>
              <w:bottom w:val="single" w:color="auto" w:sz="4" w:space="0"/>
              <w:right w:val="single" w:color="auto" w:sz="4" w:space="0"/>
            </w:tcBorders>
            <w:shd w:val="clear" w:color="000000" w:fill="FFFF00"/>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1260" w:type="dxa"/>
            <w:tcBorders>
              <w:top w:val="nil"/>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天数</w:t>
            </w:r>
          </w:p>
        </w:tc>
        <w:tc>
          <w:tcPr>
            <w:tcW w:w="640" w:type="dxa"/>
            <w:tcBorders>
              <w:top w:val="nil"/>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　</w:t>
            </w:r>
          </w:p>
        </w:tc>
        <w:tc>
          <w:tcPr>
            <w:tcW w:w="520"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1</w:t>
            </w:r>
          </w:p>
        </w:tc>
        <w:tc>
          <w:tcPr>
            <w:tcW w:w="520"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2</w:t>
            </w:r>
          </w:p>
        </w:tc>
        <w:tc>
          <w:tcPr>
            <w:tcW w:w="520"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90</w:t>
            </w:r>
          </w:p>
        </w:tc>
        <w:tc>
          <w:tcPr>
            <w:tcW w:w="549"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180</w:t>
            </w:r>
          </w:p>
        </w:tc>
        <w:tc>
          <w:tcPr>
            <w:tcW w:w="549"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360</w:t>
            </w:r>
          </w:p>
        </w:tc>
        <w:tc>
          <w:tcPr>
            <w:tcW w:w="549"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720</w:t>
            </w:r>
          </w:p>
        </w:tc>
        <w:tc>
          <w:tcPr>
            <w:tcW w:w="660"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1080</w:t>
            </w:r>
          </w:p>
        </w:tc>
        <w:tc>
          <w:tcPr>
            <w:tcW w:w="660" w:type="dxa"/>
            <w:tcBorders>
              <w:top w:val="nil"/>
              <w:left w:val="nil"/>
              <w:bottom w:val="single" w:color="auto" w:sz="4" w:space="0"/>
              <w:right w:val="single" w:color="auto" w:sz="4" w:space="0"/>
            </w:tcBorders>
            <w:shd w:val="clear" w:color="000000" w:fill="FFFF00"/>
            <w:vAlign w:val="center"/>
          </w:tcPr>
          <w:p>
            <w:pPr>
              <w:widowControl/>
              <w:jc w:val="right"/>
              <w:rPr>
                <w:rFonts w:ascii="宋体" w:cs="宋体"/>
                <w:b/>
                <w:bCs/>
                <w:color w:val="000000"/>
                <w:kern w:val="0"/>
                <w:sz w:val="22"/>
              </w:rPr>
            </w:pPr>
            <w:r>
              <w:rPr>
                <w:rFonts w:ascii="宋体" w:hAnsi="宋体" w:cs="宋体"/>
                <w:b/>
                <w:bCs/>
                <w:color w:val="000000"/>
                <w:kern w:val="0"/>
                <w:sz w:val="22"/>
              </w:rPr>
              <w:t>1800</w:t>
            </w:r>
          </w:p>
        </w:tc>
        <w:tc>
          <w:tcPr>
            <w:tcW w:w="4820" w:type="dxa"/>
            <w:tcBorders>
              <w:top w:val="nil"/>
              <w:left w:val="nil"/>
              <w:bottom w:val="single" w:color="auto" w:sz="4" w:space="0"/>
              <w:right w:val="single" w:color="auto" w:sz="4" w:space="0"/>
            </w:tcBorders>
            <w:shd w:val="clear" w:color="000000" w:fill="FFFF00"/>
            <w:vAlign w:val="center"/>
          </w:tcPr>
          <w:p>
            <w:pPr>
              <w:widowControl/>
              <w:jc w:val="left"/>
              <w:rPr>
                <w:rFonts w:ascii="宋体" w:cs="宋体"/>
                <w:b/>
                <w:bCs/>
                <w:color w:val="000000"/>
                <w:kern w:val="0"/>
                <w:sz w:val="22"/>
              </w:rPr>
            </w:pPr>
            <w:r>
              <w:rPr>
                <w:rFonts w:hint="eastAsia" w:ascii="宋体" w:hAnsi="宋体" w:cs="宋体"/>
                <w:b/>
                <w:bCs/>
                <w:color w:val="000000"/>
                <w:kern w:val="0"/>
                <w:sz w:val="22"/>
              </w:rPr>
              <w:t>　</w:t>
            </w:r>
          </w:p>
        </w:tc>
      </w:tr>
      <w:tr>
        <w:tblPrEx>
          <w:tblLayout w:type="fixed"/>
          <w:tblCellMar>
            <w:top w:w="0" w:type="dxa"/>
            <w:left w:w="108" w:type="dxa"/>
            <w:bottom w:w="0" w:type="dxa"/>
            <w:right w:w="108" w:type="dxa"/>
          </w:tblCellMar>
        </w:tblPrEx>
        <w:trPr>
          <w:trHeight w:val="270" w:hRule="atLeast"/>
          <w:jc w:val="center"/>
        </w:trPr>
        <w:tc>
          <w:tcPr>
            <w:tcW w:w="640" w:type="dxa"/>
            <w:vMerge w:val="restart"/>
            <w:tcBorders>
              <w:top w:val="nil"/>
              <w:left w:val="single" w:color="auto" w:sz="4" w:space="0"/>
              <w:bottom w:val="single" w:color="000000" w:sz="4" w:space="0"/>
              <w:right w:val="single" w:color="auto" w:sz="4" w:space="0"/>
            </w:tcBorders>
            <w:shd w:val="clear" w:color="000000" w:fill="FFFF00"/>
          </w:tcPr>
          <w:p>
            <w:pPr>
              <w:widowControl/>
              <w:jc w:val="center"/>
              <w:rPr>
                <w:rFonts w:ascii="宋体" w:cs="宋体"/>
                <w:b/>
                <w:bCs/>
                <w:color w:val="000000"/>
                <w:kern w:val="0"/>
                <w:sz w:val="22"/>
              </w:rPr>
            </w:pPr>
            <w:r>
              <w:rPr>
                <w:rFonts w:hint="eastAsia" w:ascii="宋体" w:hAnsi="宋体" w:cs="宋体"/>
                <w:b/>
                <w:bCs/>
                <w:color w:val="000000"/>
                <w:kern w:val="0"/>
                <w:sz w:val="22"/>
              </w:rPr>
              <w:t>实际存期</w:t>
            </w: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0-89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不足三个月按活期计算</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91-96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98-179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180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181-186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187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188-269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270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271-276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277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278-359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六个月，三个月，七天，一天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360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361-366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367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368-449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450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451-456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457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458-539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540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541-546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547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548-629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630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631-636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637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638-719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一年，六个月，三个月，七天，一天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720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721-726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727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728-809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810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911-816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817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818-889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890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891-896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897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898-989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990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991-996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997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998-1079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二年，六个月，三个月，七天，一天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1080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1081-1086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1087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1088-1169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1170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1171-1176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1177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1178-1259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1260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1261-1266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1267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1268-1349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1350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1351-1356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1357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1358-1439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三年，六个月，三个月，七天，一天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1440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1441-1446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1447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1448-1529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1530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1531-1536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1537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1538-1619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1620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1621-1626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1627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1628-1709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1710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三年，一年，六个月，三个月</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1711-1776</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三年，一年，六个月，三个月，一天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1777</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三年，一年，六个月，三个月，七天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1778-1799</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三年，一年，六个月，三个月，七天，一天</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1800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五年</w:t>
            </w:r>
          </w:p>
        </w:tc>
      </w:tr>
      <w:tr>
        <w:tblPrEx>
          <w:tblLayout w:type="fixed"/>
          <w:tblCellMar>
            <w:top w:w="0" w:type="dxa"/>
            <w:left w:w="108" w:type="dxa"/>
            <w:bottom w:w="0" w:type="dxa"/>
            <w:right w:w="108" w:type="dxa"/>
          </w:tblCellMar>
        </w:tblPrEx>
        <w:trPr>
          <w:trHeight w:val="270" w:hRule="atLeast"/>
          <w:jc w:val="center"/>
        </w:trPr>
        <w:tc>
          <w:tcPr>
            <w:tcW w:w="6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b/>
                <w:bCs/>
                <w:color w:val="000000"/>
                <w:kern w:val="0"/>
                <w:sz w:val="22"/>
              </w:rPr>
            </w:pPr>
          </w:p>
        </w:tc>
        <w:tc>
          <w:tcPr>
            <w:tcW w:w="12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ascii="宋体" w:hAnsi="宋体" w:cs="宋体"/>
                <w:color w:val="000000"/>
                <w:kern w:val="0"/>
                <w:sz w:val="22"/>
              </w:rPr>
              <w:t>&gt;1800</w:t>
            </w:r>
          </w:p>
        </w:tc>
        <w:tc>
          <w:tcPr>
            <w:tcW w:w="64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549"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66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　</w:t>
            </w:r>
          </w:p>
        </w:tc>
        <w:tc>
          <w:tcPr>
            <w:tcW w:w="4820" w:type="dxa"/>
            <w:tcBorders>
              <w:top w:val="nil"/>
              <w:left w:val="nil"/>
              <w:bottom w:val="single" w:color="auto" w:sz="4" w:space="0"/>
              <w:right w:val="single" w:color="auto" w:sz="4" w:space="0"/>
            </w:tcBorders>
            <w:vAlign w:val="center"/>
          </w:tcPr>
          <w:p>
            <w:pPr>
              <w:widowControl/>
              <w:jc w:val="left"/>
              <w:rPr>
                <w:rFonts w:ascii="宋体" w:cs="宋体"/>
                <w:color w:val="000000"/>
                <w:kern w:val="0"/>
                <w:sz w:val="22"/>
              </w:rPr>
            </w:pPr>
            <w:r>
              <w:rPr>
                <w:rFonts w:hint="eastAsia" w:ascii="宋体" w:hAnsi="宋体" w:cs="宋体"/>
                <w:color w:val="000000"/>
                <w:kern w:val="0"/>
                <w:sz w:val="22"/>
              </w:rPr>
              <w:t>转存</w:t>
            </w:r>
          </w:p>
        </w:tc>
      </w:tr>
    </w:tbl>
    <w:p>
      <w:pPr>
        <w:rPr>
          <w:rFonts w:ascii="微软雅黑" w:hAnsi="微软雅黑" w:eastAsia="微软雅黑"/>
          <w:b/>
          <w:sz w:val="24"/>
        </w:rPr>
      </w:pPr>
    </w:p>
    <w:p>
      <w:pPr>
        <w:rPr>
          <w:rFonts w:ascii="微软雅黑" w:hAnsi="微软雅黑" w:eastAsia="微软雅黑"/>
          <w:sz w:val="24"/>
        </w:rPr>
      </w:pPr>
      <w:r>
        <w:rPr>
          <w:rFonts w:ascii="微软雅黑" w:hAnsi="微软雅黑" w:eastAsia="微软雅黑"/>
          <w:sz w:val="24"/>
        </w:rPr>
        <w:tab/>
      </w:r>
      <w:r>
        <w:rPr>
          <w:rFonts w:hint="eastAsia" w:ascii="微软雅黑" w:hAnsi="微软雅黑" w:eastAsia="微软雅黑"/>
          <w:sz w:val="24"/>
        </w:rPr>
        <w:t>靠档计息金额</w:t>
      </w:r>
      <w:r>
        <w:rPr>
          <w:rFonts w:ascii="微软雅黑" w:hAnsi="微软雅黑" w:eastAsia="微软雅黑"/>
          <w:sz w:val="24"/>
        </w:rPr>
        <w:t>=</w:t>
      </w:r>
      <w:r>
        <w:rPr>
          <w:rFonts w:hint="eastAsia" w:ascii="微软雅黑" w:hAnsi="微软雅黑" w:eastAsia="微软雅黑"/>
          <w:sz w:val="24"/>
        </w:rPr>
        <w:t>“稳得利”存单本金×持有期天数×利率÷</w:t>
      </w:r>
      <w:r>
        <w:rPr>
          <w:rFonts w:ascii="微软雅黑" w:hAnsi="微软雅黑" w:eastAsia="微软雅黑"/>
          <w:sz w:val="24"/>
        </w:rPr>
        <w:t>360</w:t>
      </w:r>
      <w:r>
        <w:rPr>
          <w:rFonts w:hint="eastAsia" w:ascii="微软雅黑" w:hAnsi="微软雅黑" w:eastAsia="微软雅黑"/>
          <w:sz w:val="24"/>
        </w:rPr>
        <w:t>；具体储蓄利率标准以存</w:t>
      </w:r>
      <w:r>
        <w:rPr>
          <w:rFonts w:ascii="微软雅黑" w:hAnsi="微软雅黑" w:eastAsia="微软雅黑"/>
          <w:sz w:val="24"/>
        </w:rPr>
        <w:tab/>
      </w:r>
      <w:r>
        <w:rPr>
          <w:rFonts w:hint="eastAsia" w:ascii="微软雅黑" w:hAnsi="微软雅黑" w:eastAsia="微软雅黑"/>
          <w:sz w:val="24"/>
        </w:rPr>
        <w:t>入日期我行挂牌执行的相应储蓄利率为准。</w:t>
      </w:r>
    </w:p>
    <w:p>
      <w:pPr>
        <w:pStyle w:val="3"/>
      </w:pPr>
    </w:p>
    <w:sectPr>
      <w:headerReference r:id="rId12" w:type="even"/>
      <w:pgSz w:w="11906" w:h="16838"/>
      <w:pgMar w:top="1440" w:right="1230" w:bottom="1440" w:left="1230" w:header="851" w:footer="992"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华文楷体">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A00002AF" w:usb1="400078FB" w:usb2="00000000" w:usb3="00000000" w:csb0="6000009F" w:csb1="DFD70000"/>
  </w:font>
  <w:font w:name="微软雅黑">
    <w:panose1 w:val="020B0503020204020204"/>
    <w:charset w:val="86"/>
    <w:family w:val="swiss"/>
    <w:pitch w:val="default"/>
    <w:sig w:usb0="80000287" w:usb1="28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0"/>
      </w:rPr>
    </w:pPr>
    <w:r>
      <w:rPr>
        <w:rStyle w:val="40"/>
        <w:rFonts w:hint="eastAsia"/>
        <w:kern w:val="0"/>
        <w:szCs w:val="21"/>
      </w:rPr>
      <w:t xml:space="preserve">第 </w:t>
    </w:r>
    <w:r>
      <w:rPr>
        <w:rStyle w:val="40"/>
        <w:kern w:val="0"/>
        <w:szCs w:val="21"/>
      </w:rPr>
      <w:fldChar w:fldCharType="begin"/>
    </w:r>
    <w:r>
      <w:rPr>
        <w:rStyle w:val="40"/>
        <w:kern w:val="0"/>
        <w:szCs w:val="21"/>
      </w:rPr>
      <w:instrText xml:space="preserve"> PAGE </w:instrText>
    </w:r>
    <w:r>
      <w:rPr>
        <w:rStyle w:val="40"/>
        <w:kern w:val="0"/>
        <w:szCs w:val="21"/>
      </w:rPr>
      <w:fldChar w:fldCharType="separate"/>
    </w:r>
    <w:r>
      <w:rPr>
        <w:rStyle w:val="40"/>
        <w:kern w:val="0"/>
        <w:szCs w:val="21"/>
      </w:rPr>
      <w:t>II</w:t>
    </w:r>
    <w:r>
      <w:rPr>
        <w:rStyle w:val="40"/>
        <w:kern w:val="0"/>
        <w:szCs w:val="21"/>
      </w:rPr>
      <w:fldChar w:fldCharType="end"/>
    </w:r>
    <w:r>
      <w:rPr>
        <w:rStyle w:val="40"/>
        <w:rFonts w:hint="eastAsia"/>
        <w:kern w:val="0"/>
        <w:szCs w:val="21"/>
      </w:rPr>
      <w:t xml:space="preserve"> 页 共 </w:t>
    </w:r>
    <w:r>
      <w:rPr>
        <w:rStyle w:val="40"/>
        <w:rFonts w:hint="eastAsia"/>
        <w:kern w:val="0"/>
        <w:szCs w:val="21"/>
      </w:rPr>
      <w:fldChar w:fldCharType="begin"/>
    </w:r>
    <w:r>
      <w:rPr>
        <w:rStyle w:val="40"/>
        <w:kern w:val="0"/>
        <w:szCs w:val="21"/>
      </w:rPr>
      <w:instrText xml:space="preserve"> NUMPAGES </w:instrText>
    </w:r>
    <w:r>
      <w:rPr>
        <w:rStyle w:val="40"/>
        <w:rFonts w:hint="eastAsia"/>
        <w:kern w:val="0"/>
        <w:szCs w:val="21"/>
      </w:rPr>
      <w:fldChar w:fldCharType="separate"/>
    </w:r>
    <w:r>
      <w:rPr>
        <w:rStyle w:val="40"/>
        <w:kern w:val="0"/>
        <w:szCs w:val="21"/>
      </w:rPr>
      <w:t>26</w:t>
    </w:r>
    <w:r>
      <w:rPr>
        <w:rStyle w:val="40"/>
        <w:rFonts w:hint="eastAsia"/>
        <w:kern w:val="0"/>
        <w:szCs w:val="21"/>
      </w:rPr>
      <w:fldChar w:fldCharType="end"/>
    </w:r>
    <w:r>
      <w:rPr>
        <w:rStyle w:val="40"/>
        <w:rFonts w:hint="eastAsia"/>
        <w:kern w:val="0"/>
        <w:szCs w:val="21"/>
      </w:rPr>
      <w:t xml:space="preserve"> 页</w:t>
    </w:r>
  </w:p>
  <w:p>
    <w:pPr>
      <w:pStyle w:val="25"/>
      <w:rPr>
        <w:rStyle w:val="4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center" w:y="1"/>
      <w:rPr>
        <w:rStyle w:val="40"/>
      </w:rPr>
    </w:pPr>
    <w:r>
      <w:rPr>
        <w:rStyle w:val="40"/>
      </w:rPr>
      <w:fldChar w:fldCharType="begin"/>
    </w:r>
    <w:r>
      <w:rPr>
        <w:rStyle w:val="40"/>
      </w:rPr>
      <w:instrText xml:space="preserve">PAGE  </w:instrText>
    </w:r>
    <w:r>
      <w:rPr>
        <w:rStyle w:val="40"/>
      </w:rPr>
      <w:fldChar w:fldCharType="end"/>
    </w:r>
  </w:p>
  <w:p>
    <w:pPr>
      <w:pStyle w:val="2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Pr>
    <w:r>
      <w:rPr>
        <w:rFonts w:hint="eastAsia"/>
      </w:rPr>
      <w:tab/>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ind w:firstLine="0"/>
    </w:pPr>
    <w: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19050</wp:posOffset>
              </wp:positionV>
              <wp:extent cx="5257800" cy="0"/>
              <wp:effectExtent l="0" t="0" r="0" b="0"/>
              <wp:wrapNone/>
              <wp:docPr id="4" name="直线 16"/>
              <wp:cNvGraphicFramePr/>
              <a:graphic xmlns:a="http://schemas.openxmlformats.org/drawingml/2006/main">
                <a:graphicData uri="http://schemas.microsoft.com/office/word/2010/wordprocessingShape">
                  <wps:wsp>
                    <wps:cNvCnPr/>
                    <wps:spPr>
                      <a:xfrm>
                        <a:off x="0" y="0"/>
                        <a:ext cx="52578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16" o:spid="_x0000_s1026" o:spt="20" style="position:absolute;left:0pt;margin-left:0pt;margin-top:1.5pt;height:0pt;width:414pt;z-index:251664384;mso-width-relative:page;mso-height-relative:page;" filled="f" stroked="t" coordsize="21600,21600" o:gfxdata="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jx8sb9IAAAAEAQAADwAAAAAAAAABACAAAAAiAAAAZHJzL2Rv&#10;d25yZXYueG1sUEsBAhQAFAAAAAgAh07iQOlq/tXOAQAAjgMAAA4AAAAAAAAAAQAgAAAAIQEAAGRy&#10;cy9lMm9Eb2MueG1sUEsFBgAAAAAGAAYAWQEAAGEFAAAAAA==&#10;">
              <v:fill on="f" focussize="0,0"/>
              <v:stroke color="#000000" joinstyle="round"/>
              <v:imagedata o:title=""/>
              <o:lock v:ext="edit" aspectratio="f"/>
            </v:line>
          </w:pict>
        </mc:Fallback>
      </mc:AlternateContent>
    </w:r>
    <w:r>
      <w:rPr>
        <w:rFonts w:hint="eastAsia"/>
      </w:rPr>
      <w:t xml:space="preserve">神州数码融信质量管理体系  </w:t>
    </w:r>
    <w:r>
      <w:rPr>
        <w:rFonts w:hint="eastAsia"/>
      </w:rPr>
      <w:tab/>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drawing>
        <wp:anchor distT="0" distB="0" distL="114300" distR="114300" simplePos="0" relativeHeight="251661312" behindDoc="0" locked="0" layoutInCell="1" allowOverlap="1">
          <wp:simplePos x="0" y="0"/>
          <wp:positionH relativeFrom="column">
            <wp:posOffset>-134620</wp:posOffset>
          </wp:positionH>
          <wp:positionV relativeFrom="paragraph">
            <wp:posOffset>-99695</wp:posOffset>
          </wp:positionV>
          <wp:extent cx="800100" cy="297180"/>
          <wp:effectExtent l="19050" t="0" r="0" b="0"/>
          <wp:wrapNone/>
          <wp:docPr id="8" name="图片 2"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w:rPr>
        <w:lang w:bidi="th-TH"/>
      </w:rPr>
      <mc:AlternateContent>
        <mc:Choice Requires="wps">
          <w:drawing>
            <wp:anchor distT="0" distB="0" distL="114300" distR="114300" simplePos="0" relativeHeight="251660288" behindDoc="0" locked="0" layoutInCell="1" allowOverlap="1">
              <wp:simplePos x="0" y="0"/>
              <wp:positionH relativeFrom="column">
                <wp:posOffset>2628900</wp:posOffset>
              </wp:positionH>
              <wp:positionV relativeFrom="paragraph">
                <wp:posOffset>-22225</wp:posOffset>
              </wp:positionV>
              <wp:extent cx="2667000" cy="209550"/>
              <wp:effectExtent l="0" t="0" r="0" b="0"/>
              <wp:wrapNone/>
              <wp:docPr id="1" name="矩形 14"/>
              <wp:cNvGraphicFramePr/>
              <a:graphic xmlns:a="http://schemas.openxmlformats.org/drawingml/2006/main">
                <a:graphicData uri="http://schemas.microsoft.com/office/word/2010/wordprocessingShape">
                  <wps:wsp>
                    <wps:cNvSpPr/>
                    <wps:spPr>
                      <a:xfrm>
                        <a:off x="0" y="0"/>
                        <a:ext cx="2667000" cy="209550"/>
                      </a:xfrm>
                      <a:prstGeom prst="rect">
                        <a:avLst/>
                      </a:prstGeom>
                      <a:noFill/>
                      <a:ln w="9525">
                        <a:noFill/>
                      </a:ln>
                    </wps:spPr>
                    <wps:txbx>
                      <w:txbxContent>
                        <w:p>
                          <w:pPr>
                            <w:pStyle w:val="26"/>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存款子系统FS</w:t>
                          </w:r>
                          <w:r>
                            <w:fldChar w:fldCharType="end"/>
                          </w:r>
                        </w:p>
                      </w:txbxContent>
                    </wps:txbx>
                    <wps:bodyPr upright="1"/>
                  </wps:wsp>
                </a:graphicData>
              </a:graphic>
            </wp:anchor>
          </w:drawing>
        </mc:Choice>
        <mc:Fallback>
          <w:pict>
            <v:rect id="矩形 14" o:spid="_x0000_s1026" o:spt="1" style="position:absolute;left:0pt;margin-left:207pt;margin-top:-1.75pt;height:16.5pt;width:210pt;z-index:251660288;mso-width-relative:page;mso-height-relative:page;" filled="f" stroked="f" coordsize="21600,21600" o:gfxdata="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">
              <v:fill on="f" focussize="0,0"/>
              <v:stroke on="f"/>
              <v:imagedata o:title=""/>
              <o:lock v:ext="edit" aspectratio="f"/>
              <v:textbox>
                <w:txbxContent>
                  <w:p>
                    <w:pPr>
                      <w:pStyle w:val="26"/>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存款子系统FS</w:t>
                    </w:r>
                    <w:r>
                      <w:fldChar w:fldCharType="end"/>
                    </w:r>
                  </w:p>
                </w:txbxContent>
              </v:textbox>
            </v:rec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pPr>
    <w:r>
      <w:drawing>
        <wp:anchor distT="0" distB="0" distL="114300" distR="114300" simplePos="0" relativeHeight="251665408" behindDoc="0" locked="0" layoutInCell="1" allowOverlap="1">
          <wp:simplePos x="0" y="0"/>
          <wp:positionH relativeFrom="column">
            <wp:posOffset>-38100</wp:posOffset>
          </wp:positionH>
          <wp:positionV relativeFrom="paragraph">
            <wp:posOffset>10160</wp:posOffset>
          </wp:positionV>
          <wp:extent cx="800100" cy="297180"/>
          <wp:effectExtent l="19050" t="0" r="0" b="0"/>
          <wp:wrapNone/>
          <wp:docPr id="9" name="图片 13"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3"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both"/>
    </w:pPr>
    <w:r>
      <w:drawing>
        <wp:anchor distT="0" distB="0" distL="114300" distR="114300" simplePos="0" relativeHeight="251663360" behindDoc="0" locked="0" layoutInCell="1" allowOverlap="1">
          <wp:simplePos x="0" y="0"/>
          <wp:positionH relativeFrom="column">
            <wp:posOffset>-114300</wp:posOffset>
          </wp:positionH>
          <wp:positionV relativeFrom="paragraph">
            <wp:posOffset>-121285</wp:posOffset>
          </wp:positionV>
          <wp:extent cx="800100" cy="297180"/>
          <wp:effectExtent l="19050" t="0" r="0" b="0"/>
          <wp:wrapNone/>
          <wp:docPr id="18" name="图片 8" descr="d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descr="dclogo"/>
                  <pic:cNvPicPr>
                    <a:picLocks noChangeAspect="1" noChangeArrowheads="1"/>
                  </pic:cNvPicPr>
                </pic:nvPicPr>
                <pic:blipFill>
                  <a:blip r:embed="rId1"/>
                  <a:srcRect/>
                  <a:stretch>
                    <a:fillRect/>
                  </a:stretch>
                </pic:blipFill>
                <pic:spPr>
                  <a:xfrm>
                    <a:off x="0" y="0"/>
                    <a:ext cx="800100" cy="297180"/>
                  </a:xfrm>
                  <a:prstGeom prst="rect">
                    <a:avLst/>
                  </a:prstGeom>
                  <a:noFill/>
                  <a:ln w="9525">
                    <a:noFill/>
                    <a:miter lim="800000"/>
                    <a:headEnd/>
                    <a:tailEnd/>
                  </a:ln>
                </pic:spPr>
              </pic:pic>
            </a:graphicData>
          </a:graphic>
        </wp:anchor>
      </w:drawing>
    </w:r>
    <w:r>
      <mc:AlternateContent>
        <mc:Choice Requires="wps">
          <w:drawing>
            <wp:anchor distT="0" distB="0" distL="114300" distR="114300" simplePos="0" relativeHeight="251662336" behindDoc="0" locked="0" layoutInCell="1" allowOverlap="1">
              <wp:simplePos x="0" y="0"/>
              <wp:positionH relativeFrom="column">
                <wp:posOffset>3200400</wp:posOffset>
              </wp:positionH>
              <wp:positionV relativeFrom="paragraph">
                <wp:posOffset>-63500</wp:posOffset>
              </wp:positionV>
              <wp:extent cx="2608580" cy="260985"/>
              <wp:effectExtent l="0" t="0" r="0" b="0"/>
              <wp:wrapNone/>
              <wp:docPr id="3" name="矩形 15"/>
              <wp:cNvGraphicFramePr/>
              <a:graphic xmlns:a="http://schemas.openxmlformats.org/drawingml/2006/main">
                <a:graphicData uri="http://schemas.microsoft.com/office/word/2010/wordprocessingShape">
                  <wps:wsp>
                    <wps:cNvSpPr/>
                    <wps:spPr>
                      <a:xfrm>
                        <a:off x="0" y="0"/>
                        <a:ext cx="2608580" cy="260985"/>
                      </a:xfrm>
                      <a:prstGeom prst="rect">
                        <a:avLst/>
                      </a:prstGeom>
                      <a:noFill/>
                      <a:ln w="9525">
                        <a:noFill/>
                      </a:ln>
                    </wps:spPr>
                    <wps:txbx>
                      <w:txbxContent>
                        <w:p>
                          <w:pPr>
                            <w:pStyle w:val="26"/>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存款子系统FS</w:t>
                          </w:r>
                          <w:r>
                            <w:fldChar w:fldCharType="end"/>
                          </w:r>
                        </w:p>
                      </w:txbxContent>
                    </wps:txbx>
                    <wps:bodyPr upright="1"/>
                  </wps:wsp>
                </a:graphicData>
              </a:graphic>
            </wp:anchor>
          </w:drawing>
        </mc:Choice>
        <mc:Fallback>
          <w:pict>
            <v:rect id="矩形 15" o:spid="_x0000_s1026" o:spt="1" style="position:absolute;left:0pt;margin-left:252pt;margin-top:-5pt;height:20.55pt;width:205.4pt;z-index:251662336;mso-width-relative:page;mso-height-relative:page;" filled="f" stroked="f" coordsize="21600,21600" o:gfxdata="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CCOGor2gAAAAoBAAAPAAAAAAAAAAEAIAAAACIAAABkcnMvZG93&#10;bnJldi54bWxQSwECFAAUAAAACACHTuJAranP5owBAAD9AgAADgAAAAAAAAABACAAAAApAQAAZHJz&#10;L2Uyb0RvYy54bWxQSwUGAAAAAAYABgBZAQAAJwUAAAAA&#10;">
              <v:fill on="f" focussize="0,0"/>
              <v:stroke on="f"/>
              <v:imagedata o:title=""/>
              <o:lock v:ext="edit" aspectratio="f"/>
              <v:textbox>
                <w:txbxContent>
                  <w:p>
                    <w:pPr>
                      <w:pStyle w:val="26"/>
                    </w:pPr>
                    <w:r>
                      <w:fldChar w:fldCharType="begin"/>
                    </w:r>
                    <w:r>
                      <w:instrText xml:space="preserve"> </w:instrText>
                    </w:r>
                    <w:r>
                      <w:rPr>
                        <w:rFonts w:hint="eastAsia"/>
                      </w:rPr>
                      <w:instrText xml:space="preserve">STYLEREF 文档标题</w:instrText>
                    </w:r>
                    <w:r>
                      <w:instrText xml:space="preserve"> </w:instrText>
                    </w:r>
                    <w:r>
                      <w:fldChar w:fldCharType="separate"/>
                    </w:r>
                    <w:r>
                      <w:rPr>
                        <w:rFonts w:hint="eastAsia"/>
                      </w:rPr>
                      <w:t>存款子系统FS</w:t>
                    </w:r>
                    <w:r>
                      <w:fldChar w:fldCharType="end"/>
                    </w:r>
                  </w:p>
                </w:txbxContent>
              </v:textbox>
            </v:rect>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FFFFFF89"/>
    <w:lvl w:ilvl="0" w:tentative="0">
      <w:start w:val="1"/>
      <w:numFmt w:val="bullet"/>
      <w:pStyle w:val="17"/>
      <w:lvlText w:val=""/>
      <w:lvlJc w:val="left"/>
      <w:pPr>
        <w:tabs>
          <w:tab w:val="left" w:pos="360"/>
        </w:tabs>
        <w:ind w:left="360" w:hanging="360" w:hangingChars="200"/>
      </w:pPr>
      <w:rPr>
        <w:rFonts w:hint="default" w:ascii="Wingdings" w:hAnsi="Wingdings"/>
      </w:rPr>
    </w:lvl>
  </w:abstractNum>
  <w:abstractNum w:abstractNumId="1">
    <w:nsid w:val="02E71840"/>
    <w:multiLevelType w:val="multilevel"/>
    <w:tmpl w:val="02E7184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2">
    <w:nsid w:val="037140AA"/>
    <w:multiLevelType w:val="multilevel"/>
    <w:tmpl w:val="037140AA"/>
    <w:lvl w:ilvl="0" w:tentative="0">
      <w:start w:val="1"/>
      <w:numFmt w:val="bullet"/>
      <w:pStyle w:val="78"/>
      <w:lvlText w:val=""/>
      <w:lvlJc w:val="left"/>
      <w:pPr>
        <w:tabs>
          <w:tab w:val="left" w:pos="1407"/>
        </w:tabs>
        <w:ind w:left="1407" w:hanging="420"/>
      </w:pPr>
      <w:rPr>
        <w:rFonts w:hint="default" w:ascii="Wingdings" w:hAnsi="Wingdings"/>
      </w:rPr>
    </w:lvl>
    <w:lvl w:ilvl="1" w:tentative="0">
      <w:start w:val="1"/>
      <w:numFmt w:val="bullet"/>
      <w:lvlText w:val=""/>
      <w:lvlJc w:val="left"/>
      <w:pPr>
        <w:tabs>
          <w:tab w:val="left" w:pos="1260"/>
        </w:tabs>
        <w:ind w:left="1260" w:hanging="420"/>
      </w:pPr>
      <w:rPr>
        <w:rFonts w:hint="default" w:ascii="Wingdings" w:hAnsi="Wingdings"/>
      </w:rPr>
    </w:lvl>
    <w:lvl w:ilvl="2" w:tentative="0">
      <w:start w:val="1"/>
      <w:numFmt w:val="bullet"/>
      <w:lvlText w:val=""/>
      <w:lvlJc w:val="left"/>
      <w:pPr>
        <w:tabs>
          <w:tab w:val="left" w:pos="1680"/>
        </w:tabs>
        <w:ind w:left="1680" w:hanging="420"/>
      </w:pPr>
      <w:rPr>
        <w:rFonts w:hint="default" w:ascii="Wingdings" w:hAnsi="Wingdings"/>
      </w:rPr>
    </w:lvl>
    <w:lvl w:ilvl="3" w:tentative="0">
      <w:start w:val="1"/>
      <w:numFmt w:val="bullet"/>
      <w:lvlText w:val=""/>
      <w:lvlJc w:val="left"/>
      <w:pPr>
        <w:tabs>
          <w:tab w:val="left" w:pos="2100"/>
        </w:tabs>
        <w:ind w:left="2100" w:hanging="420"/>
      </w:pPr>
      <w:rPr>
        <w:rFonts w:hint="default" w:ascii="Wingdings" w:hAnsi="Wingdings"/>
      </w:rPr>
    </w:lvl>
    <w:lvl w:ilvl="4" w:tentative="0">
      <w:start w:val="1"/>
      <w:numFmt w:val="bullet"/>
      <w:lvlText w:val=""/>
      <w:lvlJc w:val="left"/>
      <w:pPr>
        <w:tabs>
          <w:tab w:val="left" w:pos="2520"/>
        </w:tabs>
        <w:ind w:left="2520" w:hanging="420"/>
      </w:pPr>
      <w:rPr>
        <w:rFonts w:hint="default" w:ascii="Wingdings" w:hAnsi="Wingdings"/>
      </w:rPr>
    </w:lvl>
    <w:lvl w:ilvl="5" w:tentative="0">
      <w:start w:val="1"/>
      <w:numFmt w:val="bullet"/>
      <w:lvlText w:val=""/>
      <w:lvlJc w:val="left"/>
      <w:pPr>
        <w:tabs>
          <w:tab w:val="left" w:pos="2940"/>
        </w:tabs>
        <w:ind w:left="2940" w:hanging="420"/>
      </w:pPr>
      <w:rPr>
        <w:rFonts w:hint="default" w:ascii="Wingdings" w:hAnsi="Wingdings"/>
      </w:rPr>
    </w:lvl>
    <w:lvl w:ilvl="6" w:tentative="0">
      <w:start w:val="1"/>
      <w:numFmt w:val="bullet"/>
      <w:lvlText w:val=""/>
      <w:lvlJc w:val="left"/>
      <w:pPr>
        <w:tabs>
          <w:tab w:val="left" w:pos="3360"/>
        </w:tabs>
        <w:ind w:left="3360" w:hanging="420"/>
      </w:pPr>
      <w:rPr>
        <w:rFonts w:hint="default" w:ascii="Wingdings" w:hAnsi="Wingdings"/>
      </w:rPr>
    </w:lvl>
    <w:lvl w:ilvl="7" w:tentative="0">
      <w:start w:val="1"/>
      <w:numFmt w:val="bullet"/>
      <w:lvlText w:val=""/>
      <w:lvlJc w:val="left"/>
      <w:pPr>
        <w:tabs>
          <w:tab w:val="left" w:pos="3780"/>
        </w:tabs>
        <w:ind w:left="3780" w:hanging="420"/>
      </w:pPr>
      <w:rPr>
        <w:rFonts w:hint="default" w:ascii="Wingdings" w:hAnsi="Wingdings"/>
      </w:rPr>
    </w:lvl>
    <w:lvl w:ilvl="8" w:tentative="0">
      <w:start w:val="1"/>
      <w:numFmt w:val="bullet"/>
      <w:lvlText w:val=""/>
      <w:lvlJc w:val="left"/>
      <w:pPr>
        <w:tabs>
          <w:tab w:val="left" w:pos="4200"/>
        </w:tabs>
        <w:ind w:left="4200" w:hanging="420"/>
      </w:pPr>
      <w:rPr>
        <w:rFonts w:hint="default" w:ascii="Wingdings" w:hAnsi="Wingdings"/>
      </w:rPr>
    </w:lvl>
  </w:abstractNum>
  <w:abstractNum w:abstractNumId="3">
    <w:nsid w:val="0B6E2461"/>
    <w:multiLevelType w:val="multilevel"/>
    <w:tmpl w:val="0B6E2461"/>
    <w:lvl w:ilvl="0" w:tentative="0">
      <w:start w:val="1"/>
      <w:numFmt w:val="decimal"/>
      <w:lvlText w:val="%1."/>
      <w:lvlJc w:val="left"/>
      <w:pPr>
        <w:ind w:left="1005" w:hanging="585"/>
      </w:pPr>
      <w:rPr>
        <w:rFonts w:hint="default"/>
        <w:color w:val="000000"/>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4">
    <w:nsid w:val="10B1170D"/>
    <w:multiLevelType w:val="multilevel"/>
    <w:tmpl w:val="10B1170D"/>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84C4F60"/>
    <w:multiLevelType w:val="multilevel"/>
    <w:tmpl w:val="184C4F60"/>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1ADF0066"/>
    <w:multiLevelType w:val="multilevel"/>
    <w:tmpl w:val="1ADF0066"/>
    <w:lvl w:ilvl="0" w:tentative="0">
      <w:start w:val="1"/>
      <w:numFmt w:val="decimal"/>
      <w:pStyle w:val="54"/>
      <w:lvlText w:val="图%1."/>
      <w:lvlJc w:val="left"/>
      <w:pPr>
        <w:tabs>
          <w:tab w:val="left" w:pos="220"/>
        </w:tabs>
        <w:ind w:left="220" w:hanging="420"/>
      </w:pPr>
      <w:rPr>
        <w:rFonts w:hint="eastAsia"/>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7">
    <w:nsid w:val="1B872FEC"/>
    <w:multiLevelType w:val="multilevel"/>
    <w:tmpl w:val="1B872FEC"/>
    <w:lvl w:ilvl="0" w:tentative="0">
      <w:start w:val="2"/>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pStyle w:val="97"/>
      <w:lvlText w:val="%1.%2.%3."/>
      <w:lvlJc w:val="left"/>
      <w:pPr>
        <w:tabs>
          <w:tab w:val="left" w:pos="709"/>
        </w:tabs>
        <w:ind w:left="709" w:hanging="709"/>
      </w:pPr>
      <w:rPr>
        <w:rFonts w:hint="eastAsia"/>
      </w:rPr>
    </w:lvl>
    <w:lvl w:ilvl="3" w:tentative="0">
      <w:start w:val="1"/>
      <w:numFmt w:val="decimal"/>
      <w:pStyle w:val="92"/>
      <w:lvlText w:val="%1.%2.%3.%4."/>
      <w:lvlJc w:val="left"/>
      <w:pPr>
        <w:tabs>
          <w:tab w:val="left" w:pos="851"/>
        </w:tabs>
        <w:ind w:left="851" w:hanging="851"/>
      </w:pPr>
      <w:rPr>
        <w:rFonts w:hint="eastAsia"/>
      </w:rPr>
    </w:lvl>
    <w:lvl w:ilvl="4" w:tentative="0">
      <w:start w:val="1"/>
      <w:numFmt w:val="decimal"/>
      <w:lvlText w:val="%1.%2.%3.%4.%5."/>
      <w:lvlJc w:val="left"/>
      <w:pPr>
        <w:tabs>
          <w:tab w:val="left" w:pos="1418"/>
        </w:tabs>
        <w:ind w:left="1418"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8">
    <w:nsid w:val="1CF65268"/>
    <w:multiLevelType w:val="multilevel"/>
    <w:tmpl w:val="1CF65268"/>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21E92C08"/>
    <w:multiLevelType w:val="multilevel"/>
    <w:tmpl w:val="21E92C08"/>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0">
    <w:nsid w:val="28410342"/>
    <w:multiLevelType w:val="multilevel"/>
    <w:tmpl w:val="28410342"/>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2C271711"/>
    <w:multiLevelType w:val="multilevel"/>
    <w:tmpl w:val="2C271711"/>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304A3F39"/>
    <w:multiLevelType w:val="multilevel"/>
    <w:tmpl w:val="304A3F39"/>
    <w:lvl w:ilvl="0" w:tentative="0">
      <w:start w:val="1"/>
      <w:numFmt w:val="decimal"/>
      <w:pStyle w:val="2"/>
      <w:lvlText w:val="%1"/>
      <w:lvlJc w:val="left"/>
      <w:pPr>
        <w:tabs>
          <w:tab w:val="left" w:pos="432"/>
        </w:tabs>
        <w:ind w:left="432" w:hanging="432"/>
      </w:pPr>
      <w:rPr>
        <w:rFonts w:hint="eastAsia"/>
      </w:rPr>
    </w:lvl>
    <w:lvl w:ilvl="1" w:tentative="0">
      <w:start w:val="1"/>
      <w:numFmt w:val="decimal"/>
      <w:pStyle w:val="4"/>
      <w:lvlText w:val="%1.%2"/>
      <w:lvlJc w:val="left"/>
      <w:pPr>
        <w:tabs>
          <w:tab w:val="left" w:pos="576"/>
        </w:tabs>
        <w:ind w:left="567" w:hanging="567"/>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2" w:tentative="0">
      <w:start w:val="1"/>
      <w:numFmt w:val="decimal"/>
      <w:pStyle w:val="5"/>
      <w:lvlText w:val="%1.2.%3"/>
      <w:lvlJc w:val="left"/>
      <w:pPr>
        <w:tabs>
          <w:tab w:val="left" w:pos="1146"/>
        </w:tabs>
        <w:ind w:left="1146" w:hanging="720"/>
      </w:pPr>
      <w:rPr>
        <w:rFonts w:hint="eastAsia"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Cs w:val="0"/>
        <w:u w:val="none"/>
        <w:vertAlign w:val="baseline"/>
      </w:rPr>
    </w:lvl>
    <w:lvl w:ilvl="3" w:tentative="0">
      <w:start w:val="1"/>
      <w:numFmt w:val="decimal"/>
      <w:pStyle w:val="6"/>
      <w:lvlText w:val="%1.2.2.%4"/>
      <w:lvlJc w:val="left"/>
      <w:pPr>
        <w:tabs>
          <w:tab w:val="left" w:pos="864"/>
        </w:tabs>
        <w:ind w:left="864" w:hanging="864"/>
      </w:pPr>
      <w:rPr>
        <w:rFonts w:hint="eastAsia"/>
      </w:rPr>
    </w:lvl>
    <w:lvl w:ilvl="4" w:tentative="0">
      <w:start w:val="1"/>
      <w:numFmt w:val="decimal"/>
      <w:pStyle w:val="7"/>
      <w:lvlText w:val="%1.%2.%3.%4.%5"/>
      <w:lvlJc w:val="left"/>
      <w:pPr>
        <w:tabs>
          <w:tab w:val="left" w:pos="1008"/>
        </w:tabs>
        <w:ind w:left="1008" w:hanging="1008"/>
      </w:pPr>
      <w:rPr>
        <w:rFonts w:hint="eastAsia"/>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abstractNum w:abstractNumId="13">
    <w:nsid w:val="392459AA"/>
    <w:multiLevelType w:val="multilevel"/>
    <w:tmpl w:val="392459A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4">
    <w:nsid w:val="401C374F"/>
    <w:multiLevelType w:val="multilevel"/>
    <w:tmpl w:val="401C374F"/>
    <w:lvl w:ilvl="0" w:tentative="0">
      <w:start w:val="1"/>
      <w:numFmt w:val="decimal"/>
      <w:pStyle w:val="55"/>
      <w:lvlText w:val="表%1."/>
      <w:lvlJc w:val="left"/>
      <w:pPr>
        <w:tabs>
          <w:tab w:val="left" w:pos="220"/>
        </w:tabs>
        <w:ind w:left="2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55E32847"/>
    <w:multiLevelType w:val="multilevel"/>
    <w:tmpl w:val="55E32847"/>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6">
    <w:nsid w:val="5B9F24BB"/>
    <w:multiLevelType w:val="multilevel"/>
    <w:tmpl w:val="5B9F24BB"/>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7">
    <w:nsid w:val="68153645"/>
    <w:multiLevelType w:val="multilevel"/>
    <w:tmpl w:val="68153645"/>
    <w:lvl w:ilvl="0" w:tentative="0">
      <w:start w:val="1"/>
      <w:numFmt w:val="decimal"/>
      <w:lvlText w:val="%1."/>
      <w:lvlJc w:val="left"/>
      <w:pPr>
        <w:ind w:left="1005" w:hanging="585"/>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71F91F6A"/>
    <w:multiLevelType w:val="multilevel"/>
    <w:tmpl w:val="71F91F6A"/>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9">
    <w:nsid w:val="745F247C"/>
    <w:multiLevelType w:val="multilevel"/>
    <w:tmpl w:val="745F247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76F202E2"/>
    <w:multiLevelType w:val="multilevel"/>
    <w:tmpl w:val="76F202E2"/>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1">
    <w:nsid w:val="7D0F7153"/>
    <w:multiLevelType w:val="multilevel"/>
    <w:tmpl w:val="7D0F7153"/>
    <w:lvl w:ilvl="0" w:tentative="0">
      <w:start w:val="1"/>
      <w:numFmt w:val="bullet"/>
      <w:lvlText w:val=""/>
      <w:lvlJc w:val="left"/>
      <w:pPr>
        <w:tabs>
          <w:tab w:val="left" w:pos="780"/>
        </w:tabs>
        <w:ind w:left="780" w:hanging="420"/>
      </w:pPr>
      <w:rPr>
        <w:rFonts w:hint="default" w:ascii="Wingdings" w:hAnsi="Wingdings"/>
      </w:rPr>
    </w:lvl>
    <w:lvl w:ilvl="1" w:tentative="0">
      <w:start w:val="1"/>
      <w:numFmt w:val="bullet"/>
      <w:lvlText w:val=""/>
      <w:lvlJc w:val="left"/>
      <w:pPr>
        <w:tabs>
          <w:tab w:val="left" w:pos="1860"/>
        </w:tabs>
        <w:ind w:left="1860" w:hanging="420"/>
      </w:pPr>
      <w:rPr>
        <w:rFonts w:hint="default" w:ascii="Wingdings" w:hAnsi="Wingdings"/>
        <w:lang w:eastAsia="zh-CN"/>
      </w:rPr>
    </w:lvl>
    <w:lvl w:ilvl="2" w:tentative="0">
      <w:start w:val="1"/>
      <w:numFmt w:val="bullet"/>
      <w:lvlText w:val=""/>
      <w:lvlJc w:val="left"/>
      <w:pPr>
        <w:tabs>
          <w:tab w:val="left" w:pos="1620"/>
        </w:tabs>
        <w:ind w:left="1620" w:hanging="420"/>
      </w:pPr>
      <w:rPr>
        <w:rFonts w:hint="default" w:ascii="Wingdings" w:hAnsi="Wingdings"/>
      </w:rPr>
    </w:lvl>
    <w:lvl w:ilvl="3" w:tentative="0">
      <w:start w:val="1"/>
      <w:numFmt w:val="bullet"/>
      <w:lvlText w:val=""/>
      <w:lvlJc w:val="left"/>
      <w:pPr>
        <w:tabs>
          <w:tab w:val="left" w:pos="2040"/>
        </w:tabs>
        <w:ind w:left="2040" w:hanging="420"/>
      </w:pPr>
      <w:rPr>
        <w:rFonts w:hint="default" w:ascii="Wingdings" w:hAnsi="Wingdings"/>
      </w:rPr>
    </w:lvl>
    <w:lvl w:ilvl="4" w:tentative="0">
      <w:start w:val="1"/>
      <w:numFmt w:val="bullet"/>
      <w:lvlText w:val=""/>
      <w:lvlJc w:val="left"/>
      <w:pPr>
        <w:tabs>
          <w:tab w:val="left" w:pos="2460"/>
        </w:tabs>
        <w:ind w:left="2460" w:hanging="420"/>
      </w:pPr>
      <w:rPr>
        <w:rFonts w:hint="default" w:ascii="Wingdings" w:hAnsi="Wingdings"/>
      </w:rPr>
    </w:lvl>
    <w:lvl w:ilvl="5" w:tentative="0">
      <w:start w:val="1"/>
      <w:numFmt w:val="bullet"/>
      <w:lvlText w:val=""/>
      <w:lvlJc w:val="left"/>
      <w:pPr>
        <w:tabs>
          <w:tab w:val="left" w:pos="2880"/>
        </w:tabs>
        <w:ind w:left="2880" w:hanging="420"/>
      </w:pPr>
      <w:rPr>
        <w:rFonts w:hint="default" w:ascii="Wingdings" w:hAnsi="Wingdings"/>
      </w:rPr>
    </w:lvl>
    <w:lvl w:ilvl="6" w:tentative="0">
      <w:start w:val="1"/>
      <w:numFmt w:val="bullet"/>
      <w:lvlText w:val=""/>
      <w:lvlJc w:val="left"/>
      <w:pPr>
        <w:tabs>
          <w:tab w:val="left" w:pos="3300"/>
        </w:tabs>
        <w:ind w:left="3300" w:hanging="420"/>
      </w:pPr>
      <w:rPr>
        <w:rFonts w:hint="default" w:ascii="Wingdings" w:hAnsi="Wingdings"/>
      </w:rPr>
    </w:lvl>
    <w:lvl w:ilvl="7" w:tentative="0">
      <w:start w:val="1"/>
      <w:numFmt w:val="bullet"/>
      <w:lvlText w:val=""/>
      <w:lvlJc w:val="left"/>
      <w:pPr>
        <w:tabs>
          <w:tab w:val="left" w:pos="3720"/>
        </w:tabs>
        <w:ind w:left="3720" w:hanging="420"/>
      </w:pPr>
      <w:rPr>
        <w:rFonts w:hint="default" w:ascii="Wingdings" w:hAnsi="Wingdings"/>
      </w:rPr>
    </w:lvl>
    <w:lvl w:ilvl="8" w:tentative="0">
      <w:start w:val="1"/>
      <w:numFmt w:val="bullet"/>
      <w:lvlText w:val=""/>
      <w:lvlJc w:val="left"/>
      <w:pPr>
        <w:tabs>
          <w:tab w:val="left" w:pos="4140"/>
        </w:tabs>
        <w:ind w:left="4140" w:hanging="420"/>
      </w:pPr>
      <w:rPr>
        <w:rFonts w:hint="default" w:ascii="Wingdings" w:hAnsi="Wingdings"/>
      </w:rPr>
    </w:lvl>
  </w:abstractNum>
  <w:abstractNum w:abstractNumId="22">
    <w:nsid w:val="7D5E403D"/>
    <w:multiLevelType w:val="multilevel"/>
    <w:tmpl w:val="7D5E403D"/>
    <w:lvl w:ilvl="0" w:tentative="0">
      <w:start w:val="1"/>
      <w:numFmt w:val="decimal"/>
      <w:lvlText w:val="%1．"/>
      <w:lvlJc w:val="left"/>
      <w:pPr>
        <w:tabs>
          <w:tab w:val="left" w:pos="780"/>
        </w:tabs>
        <w:ind w:left="78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12"/>
  </w:num>
  <w:num w:numId="2">
    <w:abstractNumId w:val="0"/>
  </w:num>
  <w:num w:numId="3">
    <w:abstractNumId w:val="6"/>
  </w:num>
  <w:num w:numId="4">
    <w:abstractNumId w:val="14"/>
  </w:num>
  <w:num w:numId="5">
    <w:abstractNumId w:val="2"/>
  </w:num>
  <w:num w:numId="6">
    <w:abstractNumId w:val="7"/>
  </w:num>
  <w:num w:numId="7">
    <w:abstractNumId w:val="20"/>
  </w:num>
  <w:num w:numId="8">
    <w:abstractNumId w:val="15"/>
  </w:num>
  <w:num w:numId="9">
    <w:abstractNumId w:val="18"/>
  </w:num>
  <w:num w:numId="10">
    <w:abstractNumId w:val="13"/>
  </w:num>
  <w:num w:numId="11">
    <w:abstractNumId w:val="5"/>
  </w:num>
  <w:num w:numId="12">
    <w:abstractNumId w:val="22"/>
  </w:num>
  <w:num w:numId="13">
    <w:abstractNumId w:val="21"/>
  </w:num>
  <w:num w:numId="14">
    <w:abstractNumId w:val="4"/>
  </w:num>
  <w:num w:numId="15">
    <w:abstractNumId w:val="8"/>
  </w:num>
  <w:num w:numId="16">
    <w:abstractNumId w:val="19"/>
  </w:num>
  <w:num w:numId="17">
    <w:abstractNumId w:val="11"/>
  </w:num>
  <w:num w:numId="18">
    <w:abstractNumId w:val="1"/>
  </w:num>
  <w:num w:numId="19">
    <w:abstractNumId w:val="10"/>
  </w:num>
  <w:num w:numId="20">
    <w:abstractNumId w:val="17"/>
  </w:num>
  <w:num w:numId="21">
    <w:abstractNumId w:val="9"/>
  </w:num>
  <w:num w:numId="22">
    <w:abstractNumId w:val="1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AF4"/>
    <w:rsid w:val="000001B6"/>
    <w:rsid w:val="0000197F"/>
    <w:rsid w:val="000023B2"/>
    <w:rsid w:val="00003CC7"/>
    <w:rsid w:val="0000588C"/>
    <w:rsid w:val="000074ED"/>
    <w:rsid w:val="00007E67"/>
    <w:rsid w:val="00011556"/>
    <w:rsid w:val="00011A05"/>
    <w:rsid w:val="00011E51"/>
    <w:rsid w:val="00014930"/>
    <w:rsid w:val="0001572F"/>
    <w:rsid w:val="00016490"/>
    <w:rsid w:val="0001739A"/>
    <w:rsid w:val="00017D18"/>
    <w:rsid w:val="000206A8"/>
    <w:rsid w:val="00020970"/>
    <w:rsid w:val="0002204B"/>
    <w:rsid w:val="00024031"/>
    <w:rsid w:val="00024F28"/>
    <w:rsid w:val="00024FBF"/>
    <w:rsid w:val="00025931"/>
    <w:rsid w:val="0003077C"/>
    <w:rsid w:val="000307D2"/>
    <w:rsid w:val="000318C9"/>
    <w:rsid w:val="000337B3"/>
    <w:rsid w:val="00034140"/>
    <w:rsid w:val="000379B0"/>
    <w:rsid w:val="00040637"/>
    <w:rsid w:val="00040898"/>
    <w:rsid w:val="000412D2"/>
    <w:rsid w:val="00042104"/>
    <w:rsid w:val="00042913"/>
    <w:rsid w:val="00042B5E"/>
    <w:rsid w:val="00043692"/>
    <w:rsid w:val="00043924"/>
    <w:rsid w:val="0004403B"/>
    <w:rsid w:val="000446E0"/>
    <w:rsid w:val="000448B6"/>
    <w:rsid w:val="00045BF5"/>
    <w:rsid w:val="00046779"/>
    <w:rsid w:val="00046784"/>
    <w:rsid w:val="0004719C"/>
    <w:rsid w:val="00047557"/>
    <w:rsid w:val="00050527"/>
    <w:rsid w:val="00050B86"/>
    <w:rsid w:val="00050DF4"/>
    <w:rsid w:val="00051EA0"/>
    <w:rsid w:val="000526CB"/>
    <w:rsid w:val="00052891"/>
    <w:rsid w:val="00052EE6"/>
    <w:rsid w:val="00052F87"/>
    <w:rsid w:val="000533B2"/>
    <w:rsid w:val="000534A2"/>
    <w:rsid w:val="00054A42"/>
    <w:rsid w:val="00054A4F"/>
    <w:rsid w:val="0005694C"/>
    <w:rsid w:val="00057743"/>
    <w:rsid w:val="0006022C"/>
    <w:rsid w:val="0006026A"/>
    <w:rsid w:val="00060E5A"/>
    <w:rsid w:val="00065AA8"/>
    <w:rsid w:val="00066C73"/>
    <w:rsid w:val="00067087"/>
    <w:rsid w:val="00067C00"/>
    <w:rsid w:val="00071A6C"/>
    <w:rsid w:val="00071E98"/>
    <w:rsid w:val="00072521"/>
    <w:rsid w:val="0007284B"/>
    <w:rsid w:val="00072F03"/>
    <w:rsid w:val="0007427E"/>
    <w:rsid w:val="000749A1"/>
    <w:rsid w:val="00075332"/>
    <w:rsid w:val="00075B4B"/>
    <w:rsid w:val="00076492"/>
    <w:rsid w:val="00077019"/>
    <w:rsid w:val="0008033C"/>
    <w:rsid w:val="000803E6"/>
    <w:rsid w:val="00081B80"/>
    <w:rsid w:val="00081D54"/>
    <w:rsid w:val="00081E80"/>
    <w:rsid w:val="00082118"/>
    <w:rsid w:val="000824D5"/>
    <w:rsid w:val="00083055"/>
    <w:rsid w:val="00084DC9"/>
    <w:rsid w:val="00085C3D"/>
    <w:rsid w:val="00087D4B"/>
    <w:rsid w:val="00090C19"/>
    <w:rsid w:val="00091063"/>
    <w:rsid w:val="00092124"/>
    <w:rsid w:val="000923A0"/>
    <w:rsid w:val="000925B6"/>
    <w:rsid w:val="00092974"/>
    <w:rsid w:val="00092C34"/>
    <w:rsid w:val="0009322B"/>
    <w:rsid w:val="00093DB0"/>
    <w:rsid w:val="00094716"/>
    <w:rsid w:val="00095386"/>
    <w:rsid w:val="00096637"/>
    <w:rsid w:val="00096AE8"/>
    <w:rsid w:val="000A0E06"/>
    <w:rsid w:val="000A1200"/>
    <w:rsid w:val="000A1577"/>
    <w:rsid w:val="000A217A"/>
    <w:rsid w:val="000A3885"/>
    <w:rsid w:val="000A3A02"/>
    <w:rsid w:val="000A43AE"/>
    <w:rsid w:val="000A57CB"/>
    <w:rsid w:val="000A788B"/>
    <w:rsid w:val="000A7C3D"/>
    <w:rsid w:val="000B070D"/>
    <w:rsid w:val="000B0719"/>
    <w:rsid w:val="000B271C"/>
    <w:rsid w:val="000B2CA9"/>
    <w:rsid w:val="000B3A55"/>
    <w:rsid w:val="000B4AF5"/>
    <w:rsid w:val="000B4DA6"/>
    <w:rsid w:val="000B61B8"/>
    <w:rsid w:val="000B6490"/>
    <w:rsid w:val="000B720F"/>
    <w:rsid w:val="000C0CF9"/>
    <w:rsid w:val="000C120B"/>
    <w:rsid w:val="000C189C"/>
    <w:rsid w:val="000C2089"/>
    <w:rsid w:val="000C300F"/>
    <w:rsid w:val="000C4F33"/>
    <w:rsid w:val="000C5174"/>
    <w:rsid w:val="000C5463"/>
    <w:rsid w:val="000C6208"/>
    <w:rsid w:val="000D0936"/>
    <w:rsid w:val="000D0C38"/>
    <w:rsid w:val="000D14F7"/>
    <w:rsid w:val="000D1B3A"/>
    <w:rsid w:val="000D1DB3"/>
    <w:rsid w:val="000D22B8"/>
    <w:rsid w:val="000D23AF"/>
    <w:rsid w:val="000D29AD"/>
    <w:rsid w:val="000D3DDA"/>
    <w:rsid w:val="000D50BA"/>
    <w:rsid w:val="000D5751"/>
    <w:rsid w:val="000E4D17"/>
    <w:rsid w:val="000E5073"/>
    <w:rsid w:val="000E543E"/>
    <w:rsid w:val="000E7921"/>
    <w:rsid w:val="000F08A0"/>
    <w:rsid w:val="000F09B3"/>
    <w:rsid w:val="000F09E7"/>
    <w:rsid w:val="000F0B87"/>
    <w:rsid w:val="000F15F1"/>
    <w:rsid w:val="000F1601"/>
    <w:rsid w:val="000F28EA"/>
    <w:rsid w:val="000F316A"/>
    <w:rsid w:val="000F318B"/>
    <w:rsid w:val="000F426A"/>
    <w:rsid w:val="000F61CC"/>
    <w:rsid w:val="000F71F4"/>
    <w:rsid w:val="000F760C"/>
    <w:rsid w:val="000F763E"/>
    <w:rsid w:val="00100FED"/>
    <w:rsid w:val="00101C6B"/>
    <w:rsid w:val="00102244"/>
    <w:rsid w:val="0010227D"/>
    <w:rsid w:val="001022C9"/>
    <w:rsid w:val="001024AC"/>
    <w:rsid w:val="0010250B"/>
    <w:rsid w:val="001028BE"/>
    <w:rsid w:val="00102B54"/>
    <w:rsid w:val="00102E1D"/>
    <w:rsid w:val="0010356E"/>
    <w:rsid w:val="00103686"/>
    <w:rsid w:val="00104583"/>
    <w:rsid w:val="00104ED2"/>
    <w:rsid w:val="00105E72"/>
    <w:rsid w:val="001060CC"/>
    <w:rsid w:val="00112022"/>
    <w:rsid w:val="0011275A"/>
    <w:rsid w:val="00112B22"/>
    <w:rsid w:val="001136FC"/>
    <w:rsid w:val="001137B7"/>
    <w:rsid w:val="00114480"/>
    <w:rsid w:val="00114E48"/>
    <w:rsid w:val="001151C7"/>
    <w:rsid w:val="001165DC"/>
    <w:rsid w:val="00117AB8"/>
    <w:rsid w:val="001205E4"/>
    <w:rsid w:val="001210D3"/>
    <w:rsid w:val="00121255"/>
    <w:rsid w:val="00121558"/>
    <w:rsid w:val="00121FCF"/>
    <w:rsid w:val="00122985"/>
    <w:rsid w:val="001235BF"/>
    <w:rsid w:val="00123870"/>
    <w:rsid w:val="0012487C"/>
    <w:rsid w:val="00124976"/>
    <w:rsid w:val="00125713"/>
    <w:rsid w:val="00125DDF"/>
    <w:rsid w:val="00126F9C"/>
    <w:rsid w:val="0012794D"/>
    <w:rsid w:val="00127976"/>
    <w:rsid w:val="001301C4"/>
    <w:rsid w:val="001309F9"/>
    <w:rsid w:val="00133F64"/>
    <w:rsid w:val="00134253"/>
    <w:rsid w:val="00134EF2"/>
    <w:rsid w:val="00135609"/>
    <w:rsid w:val="00135B85"/>
    <w:rsid w:val="001378C3"/>
    <w:rsid w:val="00137B22"/>
    <w:rsid w:val="00141230"/>
    <w:rsid w:val="00142499"/>
    <w:rsid w:val="001428FA"/>
    <w:rsid w:val="00143172"/>
    <w:rsid w:val="00143813"/>
    <w:rsid w:val="001479FD"/>
    <w:rsid w:val="00150427"/>
    <w:rsid w:val="0015100C"/>
    <w:rsid w:val="00151266"/>
    <w:rsid w:val="00151C62"/>
    <w:rsid w:val="00151EF9"/>
    <w:rsid w:val="001521CE"/>
    <w:rsid w:val="001523B1"/>
    <w:rsid w:val="001539FE"/>
    <w:rsid w:val="001545F9"/>
    <w:rsid w:val="00154848"/>
    <w:rsid w:val="001564C8"/>
    <w:rsid w:val="00156600"/>
    <w:rsid w:val="00156C43"/>
    <w:rsid w:val="00157ED8"/>
    <w:rsid w:val="00157EEF"/>
    <w:rsid w:val="001601D3"/>
    <w:rsid w:val="00160990"/>
    <w:rsid w:val="00160E4C"/>
    <w:rsid w:val="00161D94"/>
    <w:rsid w:val="00162D34"/>
    <w:rsid w:val="001631DD"/>
    <w:rsid w:val="00163F8B"/>
    <w:rsid w:val="001642A6"/>
    <w:rsid w:val="00164CB5"/>
    <w:rsid w:val="001671A8"/>
    <w:rsid w:val="00167C0F"/>
    <w:rsid w:val="00167FC1"/>
    <w:rsid w:val="001708DC"/>
    <w:rsid w:val="00171AFD"/>
    <w:rsid w:val="001733E4"/>
    <w:rsid w:val="001740D1"/>
    <w:rsid w:val="0017670B"/>
    <w:rsid w:val="00176938"/>
    <w:rsid w:val="00176AD5"/>
    <w:rsid w:val="00176DBE"/>
    <w:rsid w:val="00176FD5"/>
    <w:rsid w:val="001805B5"/>
    <w:rsid w:val="00182B6C"/>
    <w:rsid w:val="001837CD"/>
    <w:rsid w:val="001845FC"/>
    <w:rsid w:val="00184653"/>
    <w:rsid w:val="0018533E"/>
    <w:rsid w:val="0018684B"/>
    <w:rsid w:val="00186964"/>
    <w:rsid w:val="001876E7"/>
    <w:rsid w:val="00187B23"/>
    <w:rsid w:val="00192165"/>
    <w:rsid w:val="00192D4B"/>
    <w:rsid w:val="00193162"/>
    <w:rsid w:val="00193174"/>
    <w:rsid w:val="00193549"/>
    <w:rsid w:val="0019387A"/>
    <w:rsid w:val="00194012"/>
    <w:rsid w:val="001950A1"/>
    <w:rsid w:val="0019699F"/>
    <w:rsid w:val="00197115"/>
    <w:rsid w:val="001975CE"/>
    <w:rsid w:val="00197AD3"/>
    <w:rsid w:val="001A0001"/>
    <w:rsid w:val="001A00F8"/>
    <w:rsid w:val="001A02CE"/>
    <w:rsid w:val="001A19F8"/>
    <w:rsid w:val="001A3950"/>
    <w:rsid w:val="001A42A9"/>
    <w:rsid w:val="001A7FA9"/>
    <w:rsid w:val="001B0E21"/>
    <w:rsid w:val="001B16DA"/>
    <w:rsid w:val="001B286D"/>
    <w:rsid w:val="001B4BF2"/>
    <w:rsid w:val="001B5047"/>
    <w:rsid w:val="001B51C9"/>
    <w:rsid w:val="001B5262"/>
    <w:rsid w:val="001B55BE"/>
    <w:rsid w:val="001C0C9B"/>
    <w:rsid w:val="001C269E"/>
    <w:rsid w:val="001C27C1"/>
    <w:rsid w:val="001C2FAB"/>
    <w:rsid w:val="001C4868"/>
    <w:rsid w:val="001C489F"/>
    <w:rsid w:val="001C4B6D"/>
    <w:rsid w:val="001C4F70"/>
    <w:rsid w:val="001C52C7"/>
    <w:rsid w:val="001C5A21"/>
    <w:rsid w:val="001D009F"/>
    <w:rsid w:val="001D177F"/>
    <w:rsid w:val="001D2441"/>
    <w:rsid w:val="001D29A7"/>
    <w:rsid w:val="001D467A"/>
    <w:rsid w:val="001D56C6"/>
    <w:rsid w:val="001D59C5"/>
    <w:rsid w:val="001D5E24"/>
    <w:rsid w:val="001D7B60"/>
    <w:rsid w:val="001E0543"/>
    <w:rsid w:val="001E0885"/>
    <w:rsid w:val="001E1AD5"/>
    <w:rsid w:val="001E2C48"/>
    <w:rsid w:val="001E3544"/>
    <w:rsid w:val="001E3759"/>
    <w:rsid w:val="001E37A9"/>
    <w:rsid w:val="001E44B8"/>
    <w:rsid w:val="001E4CCC"/>
    <w:rsid w:val="001E516C"/>
    <w:rsid w:val="001E52F1"/>
    <w:rsid w:val="001E5E85"/>
    <w:rsid w:val="001E69B1"/>
    <w:rsid w:val="001E6B92"/>
    <w:rsid w:val="001E749E"/>
    <w:rsid w:val="001E74EE"/>
    <w:rsid w:val="001F3B46"/>
    <w:rsid w:val="001F3C39"/>
    <w:rsid w:val="001F3DE7"/>
    <w:rsid w:val="001F47EE"/>
    <w:rsid w:val="001F5940"/>
    <w:rsid w:val="001F6061"/>
    <w:rsid w:val="001F6FCF"/>
    <w:rsid w:val="00200929"/>
    <w:rsid w:val="0020209C"/>
    <w:rsid w:val="002020F7"/>
    <w:rsid w:val="00202368"/>
    <w:rsid w:val="00202C0A"/>
    <w:rsid w:val="0020314A"/>
    <w:rsid w:val="002035B5"/>
    <w:rsid w:val="00203775"/>
    <w:rsid w:val="002048E0"/>
    <w:rsid w:val="00204C24"/>
    <w:rsid w:val="00205290"/>
    <w:rsid w:val="002054EA"/>
    <w:rsid w:val="00205B4D"/>
    <w:rsid w:val="00205CC1"/>
    <w:rsid w:val="00205D77"/>
    <w:rsid w:val="002066B1"/>
    <w:rsid w:val="00206FA4"/>
    <w:rsid w:val="002076D0"/>
    <w:rsid w:val="00207963"/>
    <w:rsid w:val="002119F1"/>
    <w:rsid w:val="002123BD"/>
    <w:rsid w:val="0021260C"/>
    <w:rsid w:val="00214AD8"/>
    <w:rsid w:val="002167A9"/>
    <w:rsid w:val="00217459"/>
    <w:rsid w:val="0021746A"/>
    <w:rsid w:val="0022028B"/>
    <w:rsid w:val="00220B1C"/>
    <w:rsid w:val="00220DC9"/>
    <w:rsid w:val="00226B09"/>
    <w:rsid w:val="00232241"/>
    <w:rsid w:val="0023290B"/>
    <w:rsid w:val="002340D7"/>
    <w:rsid w:val="0023715C"/>
    <w:rsid w:val="00237292"/>
    <w:rsid w:val="002376AF"/>
    <w:rsid w:val="002407C8"/>
    <w:rsid w:val="002418F4"/>
    <w:rsid w:val="00241EB4"/>
    <w:rsid w:val="00241F4B"/>
    <w:rsid w:val="002421AB"/>
    <w:rsid w:val="00242579"/>
    <w:rsid w:val="0024344E"/>
    <w:rsid w:val="0024715C"/>
    <w:rsid w:val="00250397"/>
    <w:rsid w:val="00252D42"/>
    <w:rsid w:val="00253B56"/>
    <w:rsid w:val="00253D1A"/>
    <w:rsid w:val="00253DD2"/>
    <w:rsid w:val="00253EF4"/>
    <w:rsid w:val="00255290"/>
    <w:rsid w:val="00256EE6"/>
    <w:rsid w:val="00256F00"/>
    <w:rsid w:val="00256F79"/>
    <w:rsid w:val="002570CB"/>
    <w:rsid w:val="002575B3"/>
    <w:rsid w:val="0025767D"/>
    <w:rsid w:val="00257B8B"/>
    <w:rsid w:val="00261372"/>
    <w:rsid w:val="00262381"/>
    <w:rsid w:val="00263300"/>
    <w:rsid w:val="00263BEA"/>
    <w:rsid w:val="0026454E"/>
    <w:rsid w:val="002662AC"/>
    <w:rsid w:val="00266F60"/>
    <w:rsid w:val="002672FA"/>
    <w:rsid w:val="00272B7A"/>
    <w:rsid w:val="00274057"/>
    <w:rsid w:val="0027421F"/>
    <w:rsid w:val="00274DE0"/>
    <w:rsid w:val="00275181"/>
    <w:rsid w:val="00275FFD"/>
    <w:rsid w:val="00276C22"/>
    <w:rsid w:val="0027728B"/>
    <w:rsid w:val="00277FFD"/>
    <w:rsid w:val="00280684"/>
    <w:rsid w:val="00281351"/>
    <w:rsid w:val="00281496"/>
    <w:rsid w:val="00281DB6"/>
    <w:rsid w:val="00282792"/>
    <w:rsid w:val="00282C78"/>
    <w:rsid w:val="00282F76"/>
    <w:rsid w:val="00283C99"/>
    <w:rsid w:val="002840C8"/>
    <w:rsid w:val="00284318"/>
    <w:rsid w:val="00284CE9"/>
    <w:rsid w:val="00285CE3"/>
    <w:rsid w:val="00286A0C"/>
    <w:rsid w:val="0029052E"/>
    <w:rsid w:val="002909C4"/>
    <w:rsid w:val="0029127D"/>
    <w:rsid w:val="00291437"/>
    <w:rsid w:val="00291E2E"/>
    <w:rsid w:val="00293088"/>
    <w:rsid w:val="00294B88"/>
    <w:rsid w:val="00295624"/>
    <w:rsid w:val="0029594F"/>
    <w:rsid w:val="00295BE5"/>
    <w:rsid w:val="0029662D"/>
    <w:rsid w:val="00296818"/>
    <w:rsid w:val="002969F3"/>
    <w:rsid w:val="00296B87"/>
    <w:rsid w:val="002972A7"/>
    <w:rsid w:val="00297DB5"/>
    <w:rsid w:val="002A04AA"/>
    <w:rsid w:val="002A05A3"/>
    <w:rsid w:val="002A1734"/>
    <w:rsid w:val="002A19B6"/>
    <w:rsid w:val="002A1A75"/>
    <w:rsid w:val="002A1D46"/>
    <w:rsid w:val="002A3F48"/>
    <w:rsid w:val="002A4555"/>
    <w:rsid w:val="002A4D78"/>
    <w:rsid w:val="002A5699"/>
    <w:rsid w:val="002A58E4"/>
    <w:rsid w:val="002A7149"/>
    <w:rsid w:val="002A75E9"/>
    <w:rsid w:val="002B2E4A"/>
    <w:rsid w:val="002B399D"/>
    <w:rsid w:val="002B3F3A"/>
    <w:rsid w:val="002B3FFB"/>
    <w:rsid w:val="002B583A"/>
    <w:rsid w:val="002B6EB9"/>
    <w:rsid w:val="002C0213"/>
    <w:rsid w:val="002C0241"/>
    <w:rsid w:val="002C0312"/>
    <w:rsid w:val="002C0DAF"/>
    <w:rsid w:val="002C13CB"/>
    <w:rsid w:val="002C17A8"/>
    <w:rsid w:val="002C1B6D"/>
    <w:rsid w:val="002C395D"/>
    <w:rsid w:val="002C4762"/>
    <w:rsid w:val="002C51C6"/>
    <w:rsid w:val="002C5337"/>
    <w:rsid w:val="002C6982"/>
    <w:rsid w:val="002C6A76"/>
    <w:rsid w:val="002C705E"/>
    <w:rsid w:val="002C7734"/>
    <w:rsid w:val="002D0669"/>
    <w:rsid w:val="002D0A3D"/>
    <w:rsid w:val="002D0E3B"/>
    <w:rsid w:val="002D11DE"/>
    <w:rsid w:val="002D3CC7"/>
    <w:rsid w:val="002D6657"/>
    <w:rsid w:val="002D77DB"/>
    <w:rsid w:val="002D799B"/>
    <w:rsid w:val="002D7DD1"/>
    <w:rsid w:val="002E035A"/>
    <w:rsid w:val="002E1B9C"/>
    <w:rsid w:val="002E2009"/>
    <w:rsid w:val="002E37F1"/>
    <w:rsid w:val="002E3827"/>
    <w:rsid w:val="002E39AB"/>
    <w:rsid w:val="002E40E1"/>
    <w:rsid w:val="002E422F"/>
    <w:rsid w:val="002E4FFC"/>
    <w:rsid w:val="002E5536"/>
    <w:rsid w:val="002E5A55"/>
    <w:rsid w:val="002F2555"/>
    <w:rsid w:val="002F4AD6"/>
    <w:rsid w:val="002F7405"/>
    <w:rsid w:val="00300243"/>
    <w:rsid w:val="00300FDA"/>
    <w:rsid w:val="003010B0"/>
    <w:rsid w:val="003018A3"/>
    <w:rsid w:val="00301C28"/>
    <w:rsid w:val="00301ECA"/>
    <w:rsid w:val="003029F2"/>
    <w:rsid w:val="00304551"/>
    <w:rsid w:val="00304832"/>
    <w:rsid w:val="003054E6"/>
    <w:rsid w:val="00305891"/>
    <w:rsid w:val="00305B5C"/>
    <w:rsid w:val="0030600B"/>
    <w:rsid w:val="00307901"/>
    <w:rsid w:val="003109C4"/>
    <w:rsid w:val="00311D76"/>
    <w:rsid w:val="003125DA"/>
    <w:rsid w:val="00312D1D"/>
    <w:rsid w:val="003142DF"/>
    <w:rsid w:val="00314971"/>
    <w:rsid w:val="003154F8"/>
    <w:rsid w:val="003169AD"/>
    <w:rsid w:val="00316C36"/>
    <w:rsid w:val="0032056E"/>
    <w:rsid w:val="00320C20"/>
    <w:rsid w:val="00321F6A"/>
    <w:rsid w:val="00327DC4"/>
    <w:rsid w:val="003306C8"/>
    <w:rsid w:val="00330A1F"/>
    <w:rsid w:val="00332E3F"/>
    <w:rsid w:val="003344E3"/>
    <w:rsid w:val="003345B9"/>
    <w:rsid w:val="003349A6"/>
    <w:rsid w:val="00334A8C"/>
    <w:rsid w:val="00335273"/>
    <w:rsid w:val="003355FC"/>
    <w:rsid w:val="0033648A"/>
    <w:rsid w:val="00336A24"/>
    <w:rsid w:val="00340489"/>
    <w:rsid w:val="00340CFD"/>
    <w:rsid w:val="00341062"/>
    <w:rsid w:val="00342F05"/>
    <w:rsid w:val="0034409A"/>
    <w:rsid w:val="00345798"/>
    <w:rsid w:val="00346E15"/>
    <w:rsid w:val="00347342"/>
    <w:rsid w:val="00347DD6"/>
    <w:rsid w:val="00350C08"/>
    <w:rsid w:val="00351440"/>
    <w:rsid w:val="00351E9E"/>
    <w:rsid w:val="00352073"/>
    <w:rsid w:val="00352854"/>
    <w:rsid w:val="00352BA1"/>
    <w:rsid w:val="003533AA"/>
    <w:rsid w:val="003539A2"/>
    <w:rsid w:val="00354DDD"/>
    <w:rsid w:val="00355DBB"/>
    <w:rsid w:val="00357B50"/>
    <w:rsid w:val="00360C98"/>
    <w:rsid w:val="00361B08"/>
    <w:rsid w:val="00362065"/>
    <w:rsid w:val="003620CB"/>
    <w:rsid w:val="00362B9F"/>
    <w:rsid w:val="003633F5"/>
    <w:rsid w:val="003635A9"/>
    <w:rsid w:val="003636B2"/>
    <w:rsid w:val="003650B7"/>
    <w:rsid w:val="0036520D"/>
    <w:rsid w:val="00367BF9"/>
    <w:rsid w:val="00367CDF"/>
    <w:rsid w:val="00370967"/>
    <w:rsid w:val="00371A36"/>
    <w:rsid w:val="00371BB7"/>
    <w:rsid w:val="00371C6A"/>
    <w:rsid w:val="003725C1"/>
    <w:rsid w:val="0037274A"/>
    <w:rsid w:val="00372DB8"/>
    <w:rsid w:val="00372F82"/>
    <w:rsid w:val="00373704"/>
    <w:rsid w:val="003744F1"/>
    <w:rsid w:val="00375343"/>
    <w:rsid w:val="00376AA2"/>
    <w:rsid w:val="00376B2B"/>
    <w:rsid w:val="003771A2"/>
    <w:rsid w:val="00377B22"/>
    <w:rsid w:val="003813DA"/>
    <w:rsid w:val="0038189D"/>
    <w:rsid w:val="00381D63"/>
    <w:rsid w:val="0038250D"/>
    <w:rsid w:val="0038363C"/>
    <w:rsid w:val="00384CA3"/>
    <w:rsid w:val="00384E8E"/>
    <w:rsid w:val="00385454"/>
    <w:rsid w:val="003854FE"/>
    <w:rsid w:val="003873BF"/>
    <w:rsid w:val="00391766"/>
    <w:rsid w:val="00392FBC"/>
    <w:rsid w:val="00393220"/>
    <w:rsid w:val="003932BF"/>
    <w:rsid w:val="00393956"/>
    <w:rsid w:val="00394F9A"/>
    <w:rsid w:val="00394FDA"/>
    <w:rsid w:val="0039542E"/>
    <w:rsid w:val="0039549C"/>
    <w:rsid w:val="00395746"/>
    <w:rsid w:val="0039576C"/>
    <w:rsid w:val="00395D72"/>
    <w:rsid w:val="00395EC5"/>
    <w:rsid w:val="0039683E"/>
    <w:rsid w:val="003978A0"/>
    <w:rsid w:val="003A0543"/>
    <w:rsid w:val="003A0FA4"/>
    <w:rsid w:val="003A14B4"/>
    <w:rsid w:val="003A1744"/>
    <w:rsid w:val="003A1CAA"/>
    <w:rsid w:val="003A2D43"/>
    <w:rsid w:val="003A312B"/>
    <w:rsid w:val="003A5BFB"/>
    <w:rsid w:val="003A7B63"/>
    <w:rsid w:val="003B0DC0"/>
    <w:rsid w:val="003B295F"/>
    <w:rsid w:val="003B2FE4"/>
    <w:rsid w:val="003B4B1B"/>
    <w:rsid w:val="003B5FC7"/>
    <w:rsid w:val="003B602E"/>
    <w:rsid w:val="003B6FC6"/>
    <w:rsid w:val="003B73F1"/>
    <w:rsid w:val="003C0659"/>
    <w:rsid w:val="003C2B0B"/>
    <w:rsid w:val="003C3064"/>
    <w:rsid w:val="003C33D5"/>
    <w:rsid w:val="003C36AB"/>
    <w:rsid w:val="003D0414"/>
    <w:rsid w:val="003D0F4D"/>
    <w:rsid w:val="003D25F9"/>
    <w:rsid w:val="003D3374"/>
    <w:rsid w:val="003D3B3E"/>
    <w:rsid w:val="003D3B5D"/>
    <w:rsid w:val="003D3C77"/>
    <w:rsid w:val="003D3DFE"/>
    <w:rsid w:val="003D4A85"/>
    <w:rsid w:val="003D4E72"/>
    <w:rsid w:val="003D55B4"/>
    <w:rsid w:val="003D5E4E"/>
    <w:rsid w:val="003D78BB"/>
    <w:rsid w:val="003E0386"/>
    <w:rsid w:val="003E06E2"/>
    <w:rsid w:val="003E2E31"/>
    <w:rsid w:val="003E35AD"/>
    <w:rsid w:val="003E3F8C"/>
    <w:rsid w:val="003E556C"/>
    <w:rsid w:val="003E5ABC"/>
    <w:rsid w:val="003E772B"/>
    <w:rsid w:val="003E7DB5"/>
    <w:rsid w:val="003F0641"/>
    <w:rsid w:val="003F0A63"/>
    <w:rsid w:val="003F0E20"/>
    <w:rsid w:val="003F17A7"/>
    <w:rsid w:val="003F32DC"/>
    <w:rsid w:val="003F4A7F"/>
    <w:rsid w:val="003F5143"/>
    <w:rsid w:val="003F5AE7"/>
    <w:rsid w:val="003F61C1"/>
    <w:rsid w:val="003F66C5"/>
    <w:rsid w:val="003F7303"/>
    <w:rsid w:val="003F7AC3"/>
    <w:rsid w:val="004013DA"/>
    <w:rsid w:val="00401AAD"/>
    <w:rsid w:val="00402FC7"/>
    <w:rsid w:val="00403438"/>
    <w:rsid w:val="00403645"/>
    <w:rsid w:val="00403FDE"/>
    <w:rsid w:val="00405423"/>
    <w:rsid w:val="004067A5"/>
    <w:rsid w:val="00406DA9"/>
    <w:rsid w:val="00411828"/>
    <w:rsid w:val="00411DE4"/>
    <w:rsid w:val="004130A0"/>
    <w:rsid w:val="00413B9B"/>
    <w:rsid w:val="00413CC4"/>
    <w:rsid w:val="00414239"/>
    <w:rsid w:val="00414B6B"/>
    <w:rsid w:val="00415DAA"/>
    <w:rsid w:val="00417720"/>
    <w:rsid w:val="00417DEB"/>
    <w:rsid w:val="00423BB3"/>
    <w:rsid w:val="00423E93"/>
    <w:rsid w:val="00424053"/>
    <w:rsid w:val="00424B8E"/>
    <w:rsid w:val="00425333"/>
    <w:rsid w:val="00425A57"/>
    <w:rsid w:val="00427077"/>
    <w:rsid w:val="00427FA4"/>
    <w:rsid w:val="00431FC8"/>
    <w:rsid w:val="00432446"/>
    <w:rsid w:val="00432FAB"/>
    <w:rsid w:val="00433748"/>
    <w:rsid w:val="004348B2"/>
    <w:rsid w:val="004350E0"/>
    <w:rsid w:val="00435BDE"/>
    <w:rsid w:val="00435D63"/>
    <w:rsid w:val="0043657F"/>
    <w:rsid w:val="004413E4"/>
    <w:rsid w:val="00442261"/>
    <w:rsid w:val="004451A6"/>
    <w:rsid w:val="004451ED"/>
    <w:rsid w:val="004455DC"/>
    <w:rsid w:val="00445DB2"/>
    <w:rsid w:val="00446A3F"/>
    <w:rsid w:val="00450163"/>
    <w:rsid w:val="00450210"/>
    <w:rsid w:val="00450C82"/>
    <w:rsid w:val="00451245"/>
    <w:rsid w:val="004536C3"/>
    <w:rsid w:val="00453D73"/>
    <w:rsid w:val="00454AB8"/>
    <w:rsid w:val="004554E9"/>
    <w:rsid w:val="004554F5"/>
    <w:rsid w:val="00455758"/>
    <w:rsid w:val="0045596F"/>
    <w:rsid w:val="00455EF5"/>
    <w:rsid w:val="00456572"/>
    <w:rsid w:val="00456EAF"/>
    <w:rsid w:val="004578FC"/>
    <w:rsid w:val="00457AC2"/>
    <w:rsid w:val="00460FE4"/>
    <w:rsid w:val="00461A70"/>
    <w:rsid w:val="004630A7"/>
    <w:rsid w:val="00463B7A"/>
    <w:rsid w:val="004643B1"/>
    <w:rsid w:val="00470A5C"/>
    <w:rsid w:val="00470CDF"/>
    <w:rsid w:val="00471AF4"/>
    <w:rsid w:val="00471C76"/>
    <w:rsid w:val="0047328F"/>
    <w:rsid w:val="0047375A"/>
    <w:rsid w:val="00473789"/>
    <w:rsid w:val="00473BD4"/>
    <w:rsid w:val="0047404B"/>
    <w:rsid w:val="004740E3"/>
    <w:rsid w:val="00474222"/>
    <w:rsid w:val="00476CFE"/>
    <w:rsid w:val="004777BA"/>
    <w:rsid w:val="004802D5"/>
    <w:rsid w:val="00483438"/>
    <w:rsid w:val="00483774"/>
    <w:rsid w:val="004855DC"/>
    <w:rsid w:val="00485635"/>
    <w:rsid w:val="0048583D"/>
    <w:rsid w:val="00486AA0"/>
    <w:rsid w:val="004870C0"/>
    <w:rsid w:val="004874DD"/>
    <w:rsid w:val="00487999"/>
    <w:rsid w:val="00490A52"/>
    <w:rsid w:val="0049156A"/>
    <w:rsid w:val="00492FBC"/>
    <w:rsid w:val="0049685E"/>
    <w:rsid w:val="004979A4"/>
    <w:rsid w:val="004A1210"/>
    <w:rsid w:val="004A240E"/>
    <w:rsid w:val="004A3065"/>
    <w:rsid w:val="004A3214"/>
    <w:rsid w:val="004A3C2E"/>
    <w:rsid w:val="004A45F2"/>
    <w:rsid w:val="004A4B93"/>
    <w:rsid w:val="004A4DD1"/>
    <w:rsid w:val="004A526B"/>
    <w:rsid w:val="004A5507"/>
    <w:rsid w:val="004A5B63"/>
    <w:rsid w:val="004A63FD"/>
    <w:rsid w:val="004A64F9"/>
    <w:rsid w:val="004A7002"/>
    <w:rsid w:val="004A7AE3"/>
    <w:rsid w:val="004B0C9D"/>
    <w:rsid w:val="004B2F10"/>
    <w:rsid w:val="004B2F9A"/>
    <w:rsid w:val="004B3093"/>
    <w:rsid w:val="004B49F1"/>
    <w:rsid w:val="004B70DD"/>
    <w:rsid w:val="004C08BE"/>
    <w:rsid w:val="004C2A01"/>
    <w:rsid w:val="004C2B0B"/>
    <w:rsid w:val="004C593E"/>
    <w:rsid w:val="004C5EB2"/>
    <w:rsid w:val="004D13F7"/>
    <w:rsid w:val="004D14F5"/>
    <w:rsid w:val="004D1A6C"/>
    <w:rsid w:val="004D1F36"/>
    <w:rsid w:val="004D2BA6"/>
    <w:rsid w:val="004D2DFE"/>
    <w:rsid w:val="004D61B0"/>
    <w:rsid w:val="004D6427"/>
    <w:rsid w:val="004D7A5D"/>
    <w:rsid w:val="004D7FA1"/>
    <w:rsid w:val="004E0D9F"/>
    <w:rsid w:val="004E1575"/>
    <w:rsid w:val="004E1E96"/>
    <w:rsid w:val="004E2935"/>
    <w:rsid w:val="004E2F07"/>
    <w:rsid w:val="004E3058"/>
    <w:rsid w:val="004E4983"/>
    <w:rsid w:val="004E5700"/>
    <w:rsid w:val="004E6111"/>
    <w:rsid w:val="004E66AC"/>
    <w:rsid w:val="004E66C6"/>
    <w:rsid w:val="004E7C28"/>
    <w:rsid w:val="004E7D70"/>
    <w:rsid w:val="004F188F"/>
    <w:rsid w:val="004F40A0"/>
    <w:rsid w:val="004F5050"/>
    <w:rsid w:val="004F61F3"/>
    <w:rsid w:val="00501870"/>
    <w:rsid w:val="00501903"/>
    <w:rsid w:val="00501C89"/>
    <w:rsid w:val="00502685"/>
    <w:rsid w:val="0050333E"/>
    <w:rsid w:val="005036D8"/>
    <w:rsid w:val="00506081"/>
    <w:rsid w:val="005063E8"/>
    <w:rsid w:val="005066D9"/>
    <w:rsid w:val="005070E9"/>
    <w:rsid w:val="00507787"/>
    <w:rsid w:val="00507E07"/>
    <w:rsid w:val="005100F5"/>
    <w:rsid w:val="00510562"/>
    <w:rsid w:val="00510B00"/>
    <w:rsid w:val="00511D8B"/>
    <w:rsid w:val="00512A00"/>
    <w:rsid w:val="00517593"/>
    <w:rsid w:val="005178F4"/>
    <w:rsid w:val="00520042"/>
    <w:rsid w:val="005200EA"/>
    <w:rsid w:val="00520B2A"/>
    <w:rsid w:val="00520B39"/>
    <w:rsid w:val="00520F1D"/>
    <w:rsid w:val="00523570"/>
    <w:rsid w:val="0052396D"/>
    <w:rsid w:val="00524224"/>
    <w:rsid w:val="00525CD2"/>
    <w:rsid w:val="00525DAF"/>
    <w:rsid w:val="00526842"/>
    <w:rsid w:val="0052776C"/>
    <w:rsid w:val="00527C6C"/>
    <w:rsid w:val="00527EB6"/>
    <w:rsid w:val="005300B1"/>
    <w:rsid w:val="00530297"/>
    <w:rsid w:val="0053045F"/>
    <w:rsid w:val="0053060C"/>
    <w:rsid w:val="00530E96"/>
    <w:rsid w:val="00531048"/>
    <w:rsid w:val="0053108E"/>
    <w:rsid w:val="005313F2"/>
    <w:rsid w:val="005314DC"/>
    <w:rsid w:val="00531AD0"/>
    <w:rsid w:val="00531E54"/>
    <w:rsid w:val="00532186"/>
    <w:rsid w:val="00532B21"/>
    <w:rsid w:val="00533511"/>
    <w:rsid w:val="00533F8F"/>
    <w:rsid w:val="00534402"/>
    <w:rsid w:val="0053459F"/>
    <w:rsid w:val="005349D8"/>
    <w:rsid w:val="0053640B"/>
    <w:rsid w:val="0053653D"/>
    <w:rsid w:val="0053662C"/>
    <w:rsid w:val="00536635"/>
    <w:rsid w:val="00537745"/>
    <w:rsid w:val="00540EBB"/>
    <w:rsid w:val="0054144A"/>
    <w:rsid w:val="00541788"/>
    <w:rsid w:val="0054247C"/>
    <w:rsid w:val="00542A02"/>
    <w:rsid w:val="0054469A"/>
    <w:rsid w:val="005452F8"/>
    <w:rsid w:val="00545E4F"/>
    <w:rsid w:val="0054661B"/>
    <w:rsid w:val="0054719D"/>
    <w:rsid w:val="0055033E"/>
    <w:rsid w:val="00550A65"/>
    <w:rsid w:val="00551011"/>
    <w:rsid w:val="00552845"/>
    <w:rsid w:val="00552F67"/>
    <w:rsid w:val="005531E0"/>
    <w:rsid w:val="00553CE2"/>
    <w:rsid w:val="00553EF0"/>
    <w:rsid w:val="00553EF2"/>
    <w:rsid w:val="00554212"/>
    <w:rsid w:val="005543A4"/>
    <w:rsid w:val="00554661"/>
    <w:rsid w:val="00554F35"/>
    <w:rsid w:val="0055572B"/>
    <w:rsid w:val="00556693"/>
    <w:rsid w:val="00556FEC"/>
    <w:rsid w:val="0055728F"/>
    <w:rsid w:val="00557555"/>
    <w:rsid w:val="005575B1"/>
    <w:rsid w:val="005604D6"/>
    <w:rsid w:val="005605F1"/>
    <w:rsid w:val="0056156F"/>
    <w:rsid w:val="00561C5A"/>
    <w:rsid w:val="005628FF"/>
    <w:rsid w:val="00563DC8"/>
    <w:rsid w:val="00564055"/>
    <w:rsid w:val="0056443F"/>
    <w:rsid w:val="005652B3"/>
    <w:rsid w:val="0056615E"/>
    <w:rsid w:val="00567D2B"/>
    <w:rsid w:val="00567F06"/>
    <w:rsid w:val="00567F1F"/>
    <w:rsid w:val="0057003F"/>
    <w:rsid w:val="00570229"/>
    <w:rsid w:val="00570E21"/>
    <w:rsid w:val="005722B7"/>
    <w:rsid w:val="005735B2"/>
    <w:rsid w:val="00573E4C"/>
    <w:rsid w:val="00574CE9"/>
    <w:rsid w:val="00575579"/>
    <w:rsid w:val="00575FAF"/>
    <w:rsid w:val="00576CBF"/>
    <w:rsid w:val="005803CE"/>
    <w:rsid w:val="00581205"/>
    <w:rsid w:val="005823F4"/>
    <w:rsid w:val="00584535"/>
    <w:rsid w:val="00585985"/>
    <w:rsid w:val="00585CA0"/>
    <w:rsid w:val="00585DF6"/>
    <w:rsid w:val="005918ED"/>
    <w:rsid w:val="0059195B"/>
    <w:rsid w:val="005935BB"/>
    <w:rsid w:val="005943E5"/>
    <w:rsid w:val="00594F0C"/>
    <w:rsid w:val="005956F0"/>
    <w:rsid w:val="00595C71"/>
    <w:rsid w:val="00596254"/>
    <w:rsid w:val="00596573"/>
    <w:rsid w:val="0059702B"/>
    <w:rsid w:val="005A0867"/>
    <w:rsid w:val="005A1684"/>
    <w:rsid w:val="005A42A0"/>
    <w:rsid w:val="005A4AA2"/>
    <w:rsid w:val="005A6F17"/>
    <w:rsid w:val="005A7254"/>
    <w:rsid w:val="005A77CC"/>
    <w:rsid w:val="005A78D3"/>
    <w:rsid w:val="005B0754"/>
    <w:rsid w:val="005B129C"/>
    <w:rsid w:val="005B20F0"/>
    <w:rsid w:val="005B2EE8"/>
    <w:rsid w:val="005B3B5F"/>
    <w:rsid w:val="005B6AE0"/>
    <w:rsid w:val="005B6FF1"/>
    <w:rsid w:val="005B7C4E"/>
    <w:rsid w:val="005B7C7C"/>
    <w:rsid w:val="005C03A0"/>
    <w:rsid w:val="005C1B76"/>
    <w:rsid w:val="005C331B"/>
    <w:rsid w:val="005C3DE2"/>
    <w:rsid w:val="005C3ECD"/>
    <w:rsid w:val="005C4937"/>
    <w:rsid w:val="005C5382"/>
    <w:rsid w:val="005C56DE"/>
    <w:rsid w:val="005C6A8B"/>
    <w:rsid w:val="005C6D3A"/>
    <w:rsid w:val="005C740C"/>
    <w:rsid w:val="005D0A36"/>
    <w:rsid w:val="005D1B23"/>
    <w:rsid w:val="005D382B"/>
    <w:rsid w:val="005D3D5F"/>
    <w:rsid w:val="005D539D"/>
    <w:rsid w:val="005D779B"/>
    <w:rsid w:val="005E019C"/>
    <w:rsid w:val="005E096A"/>
    <w:rsid w:val="005E0A8F"/>
    <w:rsid w:val="005E1407"/>
    <w:rsid w:val="005E2C58"/>
    <w:rsid w:val="005E2E0B"/>
    <w:rsid w:val="005E2E33"/>
    <w:rsid w:val="005E3801"/>
    <w:rsid w:val="005E3CDD"/>
    <w:rsid w:val="005E455F"/>
    <w:rsid w:val="005E6421"/>
    <w:rsid w:val="005E6B3B"/>
    <w:rsid w:val="005E7214"/>
    <w:rsid w:val="005E75D7"/>
    <w:rsid w:val="005F0415"/>
    <w:rsid w:val="005F05A7"/>
    <w:rsid w:val="005F1438"/>
    <w:rsid w:val="005F1586"/>
    <w:rsid w:val="005F2435"/>
    <w:rsid w:val="005F27C7"/>
    <w:rsid w:val="005F4BB8"/>
    <w:rsid w:val="005F5F3C"/>
    <w:rsid w:val="00601F5F"/>
    <w:rsid w:val="00601FC6"/>
    <w:rsid w:val="00603913"/>
    <w:rsid w:val="00604B24"/>
    <w:rsid w:val="00604B2D"/>
    <w:rsid w:val="00605B02"/>
    <w:rsid w:val="00605C65"/>
    <w:rsid w:val="0060603D"/>
    <w:rsid w:val="00606093"/>
    <w:rsid w:val="00606CFC"/>
    <w:rsid w:val="00607003"/>
    <w:rsid w:val="0060745D"/>
    <w:rsid w:val="006127C2"/>
    <w:rsid w:val="00613723"/>
    <w:rsid w:val="006137F5"/>
    <w:rsid w:val="0061387F"/>
    <w:rsid w:val="0061431B"/>
    <w:rsid w:val="00614E57"/>
    <w:rsid w:val="00615929"/>
    <w:rsid w:val="006162F3"/>
    <w:rsid w:val="00616FCF"/>
    <w:rsid w:val="0062147A"/>
    <w:rsid w:val="006220BE"/>
    <w:rsid w:val="00623271"/>
    <w:rsid w:val="00623559"/>
    <w:rsid w:val="00623D0F"/>
    <w:rsid w:val="00624DA1"/>
    <w:rsid w:val="006251CC"/>
    <w:rsid w:val="0062524F"/>
    <w:rsid w:val="0062570A"/>
    <w:rsid w:val="00626CAB"/>
    <w:rsid w:val="006324CA"/>
    <w:rsid w:val="00632A45"/>
    <w:rsid w:val="00633CA6"/>
    <w:rsid w:val="0063497C"/>
    <w:rsid w:val="00634B57"/>
    <w:rsid w:val="00634BBF"/>
    <w:rsid w:val="00635D06"/>
    <w:rsid w:val="00635E6B"/>
    <w:rsid w:val="00636908"/>
    <w:rsid w:val="00636994"/>
    <w:rsid w:val="006369EC"/>
    <w:rsid w:val="00637040"/>
    <w:rsid w:val="006376DD"/>
    <w:rsid w:val="0064112C"/>
    <w:rsid w:val="00641345"/>
    <w:rsid w:val="006423A6"/>
    <w:rsid w:val="006433C7"/>
    <w:rsid w:val="0064464B"/>
    <w:rsid w:val="00644670"/>
    <w:rsid w:val="0064541A"/>
    <w:rsid w:val="0064550D"/>
    <w:rsid w:val="00645EF9"/>
    <w:rsid w:val="00646645"/>
    <w:rsid w:val="0064671B"/>
    <w:rsid w:val="00646A9F"/>
    <w:rsid w:val="00647BAF"/>
    <w:rsid w:val="00647D49"/>
    <w:rsid w:val="006503E4"/>
    <w:rsid w:val="00651737"/>
    <w:rsid w:val="00651D31"/>
    <w:rsid w:val="00652600"/>
    <w:rsid w:val="00652633"/>
    <w:rsid w:val="00653E72"/>
    <w:rsid w:val="00655757"/>
    <w:rsid w:val="00655AB7"/>
    <w:rsid w:val="00655B38"/>
    <w:rsid w:val="00655D94"/>
    <w:rsid w:val="006576B1"/>
    <w:rsid w:val="00657FFB"/>
    <w:rsid w:val="00661E36"/>
    <w:rsid w:val="006628C0"/>
    <w:rsid w:val="00663210"/>
    <w:rsid w:val="006673C5"/>
    <w:rsid w:val="00667CD7"/>
    <w:rsid w:val="00671D64"/>
    <w:rsid w:val="00671FB3"/>
    <w:rsid w:val="00671FCE"/>
    <w:rsid w:val="00672292"/>
    <w:rsid w:val="00674FD4"/>
    <w:rsid w:val="00675208"/>
    <w:rsid w:val="006762FC"/>
    <w:rsid w:val="00680995"/>
    <w:rsid w:val="00682DCB"/>
    <w:rsid w:val="00683AD4"/>
    <w:rsid w:val="00683FD5"/>
    <w:rsid w:val="00684954"/>
    <w:rsid w:val="0068516C"/>
    <w:rsid w:val="006852F2"/>
    <w:rsid w:val="0068640B"/>
    <w:rsid w:val="0069000D"/>
    <w:rsid w:val="006914CB"/>
    <w:rsid w:val="006917A0"/>
    <w:rsid w:val="00691D25"/>
    <w:rsid w:val="00691FB4"/>
    <w:rsid w:val="00694732"/>
    <w:rsid w:val="00695414"/>
    <w:rsid w:val="0069582F"/>
    <w:rsid w:val="00695E8A"/>
    <w:rsid w:val="006960A6"/>
    <w:rsid w:val="00697086"/>
    <w:rsid w:val="00697A38"/>
    <w:rsid w:val="006A1280"/>
    <w:rsid w:val="006A1ED8"/>
    <w:rsid w:val="006A210E"/>
    <w:rsid w:val="006A2BC6"/>
    <w:rsid w:val="006A2CD4"/>
    <w:rsid w:val="006A38A0"/>
    <w:rsid w:val="006A3C2B"/>
    <w:rsid w:val="006A48FB"/>
    <w:rsid w:val="006A4D18"/>
    <w:rsid w:val="006A599A"/>
    <w:rsid w:val="006A640A"/>
    <w:rsid w:val="006A6BFD"/>
    <w:rsid w:val="006B00F2"/>
    <w:rsid w:val="006B1CDB"/>
    <w:rsid w:val="006B1E50"/>
    <w:rsid w:val="006B28B9"/>
    <w:rsid w:val="006B2B46"/>
    <w:rsid w:val="006B421D"/>
    <w:rsid w:val="006B46BB"/>
    <w:rsid w:val="006B4D95"/>
    <w:rsid w:val="006B4FBE"/>
    <w:rsid w:val="006B52FD"/>
    <w:rsid w:val="006B5612"/>
    <w:rsid w:val="006B7057"/>
    <w:rsid w:val="006C1190"/>
    <w:rsid w:val="006C2CD9"/>
    <w:rsid w:val="006C7591"/>
    <w:rsid w:val="006D03F2"/>
    <w:rsid w:val="006D0EB9"/>
    <w:rsid w:val="006D1DEA"/>
    <w:rsid w:val="006D1DFC"/>
    <w:rsid w:val="006D2115"/>
    <w:rsid w:val="006D2504"/>
    <w:rsid w:val="006D2661"/>
    <w:rsid w:val="006D3817"/>
    <w:rsid w:val="006D3834"/>
    <w:rsid w:val="006D3E70"/>
    <w:rsid w:val="006D4112"/>
    <w:rsid w:val="006D5D43"/>
    <w:rsid w:val="006D7363"/>
    <w:rsid w:val="006D791E"/>
    <w:rsid w:val="006E0FEF"/>
    <w:rsid w:val="006E1A2D"/>
    <w:rsid w:val="006E1B3B"/>
    <w:rsid w:val="006E233C"/>
    <w:rsid w:val="006E36C2"/>
    <w:rsid w:val="006E3B63"/>
    <w:rsid w:val="006E3B94"/>
    <w:rsid w:val="006E5381"/>
    <w:rsid w:val="006E5747"/>
    <w:rsid w:val="006E5E42"/>
    <w:rsid w:val="006E634A"/>
    <w:rsid w:val="006E6DC1"/>
    <w:rsid w:val="006E7C09"/>
    <w:rsid w:val="006E7E66"/>
    <w:rsid w:val="006E7E73"/>
    <w:rsid w:val="006F0547"/>
    <w:rsid w:val="006F07EF"/>
    <w:rsid w:val="006F0906"/>
    <w:rsid w:val="006F0EEF"/>
    <w:rsid w:val="006F1570"/>
    <w:rsid w:val="006F17D4"/>
    <w:rsid w:val="006F24EE"/>
    <w:rsid w:val="006F2D61"/>
    <w:rsid w:val="006F31F0"/>
    <w:rsid w:val="006F397E"/>
    <w:rsid w:val="006F456C"/>
    <w:rsid w:val="006F4694"/>
    <w:rsid w:val="006F5244"/>
    <w:rsid w:val="006F5E01"/>
    <w:rsid w:val="006F67AF"/>
    <w:rsid w:val="006F6C55"/>
    <w:rsid w:val="006F6F1D"/>
    <w:rsid w:val="006F7165"/>
    <w:rsid w:val="00700F2F"/>
    <w:rsid w:val="007013BD"/>
    <w:rsid w:val="00702D11"/>
    <w:rsid w:val="00702DA1"/>
    <w:rsid w:val="0070480C"/>
    <w:rsid w:val="00705C18"/>
    <w:rsid w:val="00705F81"/>
    <w:rsid w:val="0070601B"/>
    <w:rsid w:val="007066CB"/>
    <w:rsid w:val="00706A2B"/>
    <w:rsid w:val="00706C7A"/>
    <w:rsid w:val="00707D07"/>
    <w:rsid w:val="0071125D"/>
    <w:rsid w:val="007122E9"/>
    <w:rsid w:val="00712B2C"/>
    <w:rsid w:val="00713244"/>
    <w:rsid w:val="0071390E"/>
    <w:rsid w:val="0071415A"/>
    <w:rsid w:val="007144D8"/>
    <w:rsid w:val="007146D2"/>
    <w:rsid w:val="0071720C"/>
    <w:rsid w:val="007207BB"/>
    <w:rsid w:val="007214E0"/>
    <w:rsid w:val="00722881"/>
    <w:rsid w:val="00722FB3"/>
    <w:rsid w:val="007248B7"/>
    <w:rsid w:val="00724B26"/>
    <w:rsid w:val="00725889"/>
    <w:rsid w:val="007265DC"/>
    <w:rsid w:val="00726E1A"/>
    <w:rsid w:val="00727BD7"/>
    <w:rsid w:val="00727C0A"/>
    <w:rsid w:val="00727D72"/>
    <w:rsid w:val="0073015D"/>
    <w:rsid w:val="007327E1"/>
    <w:rsid w:val="00733867"/>
    <w:rsid w:val="0073529D"/>
    <w:rsid w:val="007400D8"/>
    <w:rsid w:val="00742FE4"/>
    <w:rsid w:val="007432CB"/>
    <w:rsid w:val="0074440B"/>
    <w:rsid w:val="00744E6D"/>
    <w:rsid w:val="0074549B"/>
    <w:rsid w:val="00745CA9"/>
    <w:rsid w:val="00746D4B"/>
    <w:rsid w:val="00747F60"/>
    <w:rsid w:val="0075001D"/>
    <w:rsid w:val="00750102"/>
    <w:rsid w:val="00750AF7"/>
    <w:rsid w:val="00750B89"/>
    <w:rsid w:val="0075125C"/>
    <w:rsid w:val="00751F96"/>
    <w:rsid w:val="00752376"/>
    <w:rsid w:val="00752EE3"/>
    <w:rsid w:val="007533CC"/>
    <w:rsid w:val="007538C1"/>
    <w:rsid w:val="00753A74"/>
    <w:rsid w:val="00753E7E"/>
    <w:rsid w:val="00756BE4"/>
    <w:rsid w:val="00756D2B"/>
    <w:rsid w:val="00757071"/>
    <w:rsid w:val="00757E24"/>
    <w:rsid w:val="00760817"/>
    <w:rsid w:val="00761734"/>
    <w:rsid w:val="00762F5F"/>
    <w:rsid w:val="00763237"/>
    <w:rsid w:val="007632FB"/>
    <w:rsid w:val="00764027"/>
    <w:rsid w:val="00764141"/>
    <w:rsid w:val="007643FE"/>
    <w:rsid w:val="00764849"/>
    <w:rsid w:val="00764C6B"/>
    <w:rsid w:val="00766D9B"/>
    <w:rsid w:val="007678B6"/>
    <w:rsid w:val="00767DE9"/>
    <w:rsid w:val="00767F15"/>
    <w:rsid w:val="007706DD"/>
    <w:rsid w:val="0077163E"/>
    <w:rsid w:val="0077166B"/>
    <w:rsid w:val="00772837"/>
    <w:rsid w:val="0077487D"/>
    <w:rsid w:val="00774D99"/>
    <w:rsid w:val="007767AA"/>
    <w:rsid w:val="00777C54"/>
    <w:rsid w:val="00780012"/>
    <w:rsid w:val="00780F10"/>
    <w:rsid w:val="00781A8F"/>
    <w:rsid w:val="00782E2D"/>
    <w:rsid w:val="007832A9"/>
    <w:rsid w:val="00783D67"/>
    <w:rsid w:val="007852B6"/>
    <w:rsid w:val="00785AA0"/>
    <w:rsid w:val="00785AC0"/>
    <w:rsid w:val="0078704D"/>
    <w:rsid w:val="00787DB9"/>
    <w:rsid w:val="00790BC0"/>
    <w:rsid w:val="0079173B"/>
    <w:rsid w:val="00791F2C"/>
    <w:rsid w:val="00792BB2"/>
    <w:rsid w:val="00793461"/>
    <w:rsid w:val="00793C51"/>
    <w:rsid w:val="0079490F"/>
    <w:rsid w:val="00794938"/>
    <w:rsid w:val="00794BB0"/>
    <w:rsid w:val="0079550A"/>
    <w:rsid w:val="007957C7"/>
    <w:rsid w:val="00795944"/>
    <w:rsid w:val="00796351"/>
    <w:rsid w:val="007965FF"/>
    <w:rsid w:val="007974B3"/>
    <w:rsid w:val="007A02B9"/>
    <w:rsid w:val="007A0D0F"/>
    <w:rsid w:val="007A0E80"/>
    <w:rsid w:val="007A115C"/>
    <w:rsid w:val="007A13C5"/>
    <w:rsid w:val="007A1B5F"/>
    <w:rsid w:val="007A1FF2"/>
    <w:rsid w:val="007A2D64"/>
    <w:rsid w:val="007A31A4"/>
    <w:rsid w:val="007A3362"/>
    <w:rsid w:val="007A33EC"/>
    <w:rsid w:val="007A4CDE"/>
    <w:rsid w:val="007A4F78"/>
    <w:rsid w:val="007A503F"/>
    <w:rsid w:val="007A6FED"/>
    <w:rsid w:val="007A7049"/>
    <w:rsid w:val="007B0357"/>
    <w:rsid w:val="007B08F3"/>
    <w:rsid w:val="007B1774"/>
    <w:rsid w:val="007B1D97"/>
    <w:rsid w:val="007B295C"/>
    <w:rsid w:val="007B45FD"/>
    <w:rsid w:val="007B7477"/>
    <w:rsid w:val="007B7F9A"/>
    <w:rsid w:val="007C059D"/>
    <w:rsid w:val="007C0E04"/>
    <w:rsid w:val="007C101F"/>
    <w:rsid w:val="007C165B"/>
    <w:rsid w:val="007C342C"/>
    <w:rsid w:val="007C4F5F"/>
    <w:rsid w:val="007C6135"/>
    <w:rsid w:val="007C6352"/>
    <w:rsid w:val="007C6C5F"/>
    <w:rsid w:val="007C7D81"/>
    <w:rsid w:val="007D0893"/>
    <w:rsid w:val="007D1345"/>
    <w:rsid w:val="007D174E"/>
    <w:rsid w:val="007D1835"/>
    <w:rsid w:val="007D2EE9"/>
    <w:rsid w:val="007D3500"/>
    <w:rsid w:val="007D3682"/>
    <w:rsid w:val="007D372A"/>
    <w:rsid w:val="007D3CD4"/>
    <w:rsid w:val="007D4B62"/>
    <w:rsid w:val="007D647A"/>
    <w:rsid w:val="007D75DF"/>
    <w:rsid w:val="007E0073"/>
    <w:rsid w:val="007E0E49"/>
    <w:rsid w:val="007E0F0E"/>
    <w:rsid w:val="007E1021"/>
    <w:rsid w:val="007E1727"/>
    <w:rsid w:val="007E1C5B"/>
    <w:rsid w:val="007E2944"/>
    <w:rsid w:val="007E2A04"/>
    <w:rsid w:val="007E3A1A"/>
    <w:rsid w:val="007E3ADE"/>
    <w:rsid w:val="007E4F89"/>
    <w:rsid w:val="007E57AB"/>
    <w:rsid w:val="007E5E78"/>
    <w:rsid w:val="007E6730"/>
    <w:rsid w:val="007E6F2D"/>
    <w:rsid w:val="007F0AF0"/>
    <w:rsid w:val="007F44B8"/>
    <w:rsid w:val="007F68B7"/>
    <w:rsid w:val="007F72FA"/>
    <w:rsid w:val="007F784E"/>
    <w:rsid w:val="008020E3"/>
    <w:rsid w:val="00802C0D"/>
    <w:rsid w:val="008031DC"/>
    <w:rsid w:val="008038B9"/>
    <w:rsid w:val="008044C8"/>
    <w:rsid w:val="00804B55"/>
    <w:rsid w:val="0080518C"/>
    <w:rsid w:val="00805A3E"/>
    <w:rsid w:val="00806CDA"/>
    <w:rsid w:val="0080706D"/>
    <w:rsid w:val="0080709D"/>
    <w:rsid w:val="00807421"/>
    <w:rsid w:val="00807589"/>
    <w:rsid w:val="0081261B"/>
    <w:rsid w:val="00813083"/>
    <w:rsid w:val="00814912"/>
    <w:rsid w:val="0081494D"/>
    <w:rsid w:val="0081505C"/>
    <w:rsid w:val="00815F95"/>
    <w:rsid w:val="00816300"/>
    <w:rsid w:val="0081747C"/>
    <w:rsid w:val="008179C7"/>
    <w:rsid w:val="00817DA9"/>
    <w:rsid w:val="00820749"/>
    <w:rsid w:val="00820D68"/>
    <w:rsid w:val="00820ECF"/>
    <w:rsid w:val="00821799"/>
    <w:rsid w:val="00821D42"/>
    <w:rsid w:val="00822BE6"/>
    <w:rsid w:val="00822C39"/>
    <w:rsid w:val="00822CDA"/>
    <w:rsid w:val="00823081"/>
    <w:rsid w:val="00823472"/>
    <w:rsid w:val="00823B36"/>
    <w:rsid w:val="008249E6"/>
    <w:rsid w:val="008264C5"/>
    <w:rsid w:val="00827547"/>
    <w:rsid w:val="00827563"/>
    <w:rsid w:val="00827B44"/>
    <w:rsid w:val="008306EC"/>
    <w:rsid w:val="00830F8A"/>
    <w:rsid w:val="00831CF6"/>
    <w:rsid w:val="00832D46"/>
    <w:rsid w:val="008340CD"/>
    <w:rsid w:val="00835060"/>
    <w:rsid w:val="00835304"/>
    <w:rsid w:val="00835878"/>
    <w:rsid w:val="00836027"/>
    <w:rsid w:val="00836362"/>
    <w:rsid w:val="008363EC"/>
    <w:rsid w:val="00836522"/>
    <w:rsid w:val="0083676A"/>
    <w:rsid w:val="008369F1"/>
    <w:rsid w:val="008372FF"/>
    <w:rsid w:val="00837B70"/>
    <w:rsid w:val="00837D30"/>
    <w:rsid w:val="00840FCC"/>
    <w:rsid w:val="00841DC3"/>
    <w:rsid w:val="00842424"/>
    <w:rsid w:val="00842E0F"/>
    <w:rsid w:val="00842F5E"/>
    <w:rsid w:val="0084346C"/>
    <w:rsid w:val="008436E9"/>
    <w:rsid w:val="008439F6"/>
    <w:rsid w:val="00843CA1"/>
    <w:rsid w:val="00844902"/>
    <w:rsid w:val="00844AFE"/>
    <w:rsid w:val="00844E97"/>
    <w:rsid w:val="0084541F"/>
    <w:rsid w:val="00845E82"/>
    <w:rsid w:val="0084642B"/>
    <w:rsid w:val="008465AA"/>
    <w:rsid w:val="00847685"/>
    <w:rsid w:val="008502C0"/>
    <w:rsid w:val="00850726"/>
    <w:rsid w:val="00850768"/>
    <w:rsid w:val="00851D41"/>
    <w:rsid w:val="00852406"/>
    <w:rsid w:val="00852A37"/>
    <w:rsid w:val="00852BFB"/>
    <w:rsid w:val="00852E19"/>
    <w:rsid w:val="00853094"/>
    <w:rsid w:val="008536BF"/>
    <w:rsid w:val="008554D8"/>
    <w:rsid w:val="00855BE9"/>
    <w:rsid w:val="008562D3"/>
    <w:rsid w:val="008571BA"/>
    <w:rsid w:val="00857339"/>
    <w:rsid w:val="008578DA"/>
    <w:rsid w:val="00860025"/>
    <w:rsid w:val="00860111"/>
    <w:rsid w:val="00860710"/>
    <w:rsid w:val="00861D6B"/>
    <w:rsid w:val="00863617"/>
    <w:rsid w:val="00863F49"/>
    <w:rsid w:val="00865106"/>
    <w:rsid w:val="008651B5"/>
    <w:rsid w:val="00865942"/>
    <w:rsid w:val="00865F71"/>
    <w:rsid w:val="0086793A"/>
    <w:rsid w:val="00867E6B"/>
    <w:rsid w:val="00867FCD"/>
    <w:rsid w:val="008700E3"/>
    <w:rsid w:val="00871BAA"/>
    <w:rsid w:val="00872D26"/>
    <w:rsid w:val="00872E87"/>
    <w:rsid w:val="008732DD"/>
    <w:rsid w:val="008753CC"/>
    <w:rsid w:val="00880D8D"/>
    <w:rsid w:val="008817FF"/>
    <w:rsid w:val="008833E9"/>
    <w:rsid w:val="00884AAD"/>
    <w:rsid w:val="00885C8D"/>
    <w:rsid w:val="008863AC"/>
    <w:rsid w:val="008871F8"/>
    <w:rsid w:val="008879F6"/>
    <w:rsid w:val="00892875"/>
    <w:rsid w:val="00893934"/>
    <w:rsid w:val="00893971"/>
    <w:rsid w:val="00894DA3"/>
    <w:rsid w:val="00896259"/>
    <w:rsid w:val="008966B0"/>
    <w:rsid w:val="008967E7"/>
    <w:rsid w:val="00896F68"/>
    <w:rsid w:val="00896F84"/>
    <w:rsid w:val="00897119"/>
    <w:rsid w:val="00897D05"/>
    <w:rsid w:val="008A01B2"/>
    <w:rsid w:val="008A05E2"/>
    <w:rsid w:val="008A137F"/>
    <w:rsid w:val="008A28C1"/>
    <w:rsid w:val="008A306B"/>
    <w:rsid w:val="008A36CE"/>
    <w:rsid w:val="008A3B57"/>
    <w:rsid w:val="008A4AD3"/>
    <w:rsid w:val="008A55CE"/>
    <w:rsid w:val="008A6A45"/>
    <w:rsid w:val="008A7331"/>
    <w:rsid w:val="008B0B90"/>
    <w:rsid w:val="008B1D77"/>
    <w:rsid w:val="008B25DD"/>
    <w:rsid w:val="008B2A81"/>
    <w:rsid w:val="008B2CC7"/>
    <w:rsid w:val="008B3055"/>
    <w:rsid w:val="008B3294"/>
    <w:rsid w:val="008B399F"/>
    <w:rsid w:val="008B5138"/>
    <w:rsid w:val="008B5F01"/>
    <w:rsid w:val="008B6AEC"/>
    <w:rsid w:val="008B6DDF"/>
    <w:rsid w:val="008B78B0"/>
    <w:rsid w:val="008C019D"/>
    <w:rsid w:val="008C01B8"/>
    <w:rsid w:val="008C0861"/>
    <w:rsid w:val="008C1DD8"/>
    <w:rsid w:val="008C3001"/>
    <w:rsid w:val="008C3069"/>
    <w:rsid w:val="008C392C"/>
    <w:rsid w:val="008C3CCB"/>
    <w:rsid w:val="008C46D2"/>
    <w:rsid w:val="008C4998"/>
    <w:rsid w:val="008C531B"/>
    <w:rsid w:val="008C58FE"/>
    <w:rsid w:val="008C66E4"/>
    <w:rsid w:val="008C6DD8"/>
    <w:rsid w:val="008C743D"/>
    <w:rsid w:val="008D1B50"/>
    <w:rsid w:val="008D1D22"/>
    <w:rsid w:val="008D2074"/>
    <w:rsid w:val="008D34E8"/>
    <w:rsid w:val="008D4EF5"/>
    <w:rsid w:val="008D4F83"/>
    <w:rsid w:val="008D54A6"/>
    <w:rsid w:val="008D5648"/>
    <w:rsid w:val="008D5AA6"/>
    <w:rsid w:val="008E1A4B"/>
    <w:rsid w:val="008E28E5"/>
    <w:rsid w:val="008E2EAD"/>
    <w:rsid w:val="008E3650"/>
    <w:rsid w:val="008E413C"/>
    <w:rsid w:val="008E46F4"/>
    <w:rsid w:val="008E4F5A"/>
    <w:rsid w:val="008E61F2"/>
    <w:rsid w:val="008E7663"/>
    <w:rsid w:val="008F00D6"/>
    <w:rsid w:val="008F0479"/>
    <w:rsid w:val="008F1314"/>
    <w:rsid w:val="008F1900"/>
    <w:rsid w:val="008F1936"/>
    <w:rsid w:val="008F195A"/>
    <w:rsid w:val="008F1E27"/>
    <w:rsid w:val="008F2CDB"/>
    <w:rsid w:val="008F3F53"/>
    <w:rsid w:val="008F50CA"/>
    <w:rsid w:val="008F523B"/>
    <w:rsid w:val="008F53DA"/>
    <w:rsid w:val="008F5A5E"/>
    <w:rsid w:val="008F64D9"/>
    <w:rsid w:val="008F699A"/>
    <w:rsid w:val="008F6D48"/>
    <w:rsid w:val="008F70ED"/>
    <w:rsid w:val="00900589"/>
    <w:rsid w:val="00900709"/>
    <w:rsid w:val="009024D5"/>
    <w:rsid w:val="00902B71"/>
    <w:rsid w:val="009031DC"/>
    <w:rsid w:val="0090477F"/>
    <w:rsid w:val="009051A6"/>
    <w:rsid w:val="0090541E"/>
    <w:rsid w:val="00905D7A"/>
    <w:rsid w:val="00905DEE"/>
    <w:rsid w:val="0090743C"/>
    <w:rsid w:val="00910006"/>
    <w:rsid w:val="00910ECE"/>
    <w:rsid w:val="0091145E"/>
    <w:rsid w:val="009118FA"/>
    <w:rsid w:val="00912DB3"/>
    <w:rsid w:val="00912E55"/>
    <w:rsid w:val="0091374B"/>
    <w:rsid w:val="00913D11"/>
    <w:rsid w:val="00913F95"/>
    <w:rsid w:val="009164D0"/>
    <w:rsid w:val="009169D9"/>
    <w:rsid w:val="0091732E"/>
    <w:rsid w:val="009211D1"/>
    <w:rsid w:val="0092319D"/>
    <w:rsid w:val="00923A9D"/>
    <w:rsid w:val="0092483C"/>
    <w:rsid w:val="009261EE"/>
    <w:rsid w:val="00926374"/>
    <w:rsid w:val="00927800"/>
    <w:rsid w:val="0093240F"/>
    <w:rsid w:val="00932656"/>
    <w:rsid w:val="00933B18"/>
    <w:rsid w:val="00934222"/>
    <w:rsid w:val="009352EA"/>
    <w:rsid w:val="00937D69"/>
    <w:rsid w:val="00940545"/>
    <w:rsid w:val="00940691"/>
    <w:rsid w:val="00940AAB"/>
    <w:rsid w:val="00942769"/>
    <w:rsid w:val="009430E3"/>
    <w:rsid w:val="00943AD8"/>
    <w:rsid w:val="00943B3F"/>
    <w:rsid w:val="00945083"/>
    <w:rsid w:val="009457C4"/>
    <w:rsid w:val="00945E1D"/>
    <w:rsid w:val="00947E0F"/>
    <w:rsid w:val="00952C18"/>
    <w:rsid w:val="00953669"/>
    <w:rsid w:val="0095383F"/>
    <w:rsid w:val="0095392B"/>
    <w:rsid w:val="0095394E"/>
    <w:rsid w:val="009546E0"/>
    <w:rsid w:val="00955A66"/>
    <w:rsid w:val="00956146"/>
    <w:rsid w:val="0095624C"/>
    <w:rsid w:val="00957C37"/>
    <w:rsid w:val="00960DDA"/>
    <w:rsid w:val="009620A1"/>
    <w:rsid w:val="009629A1"/>
    <w:rsid w:val="009637A9"/>
    <w:rsid w:val="00963A7F"/>
    <w:rsid w:val="009648AC"/>
    <w:rsid w:val="00964919"/>
    <w:rsid w:val="009650D8"/>
    <w:rsid w:val="0096570A"/>
    <w:rsid w:val="0096679C"/>
    <w:rsid w:val="009674A0"/>
    <w:rsid w:val="009678EA"/>
    <w:rsid w:val="0097054A"/>
    <w:rsid w:val="00970ACA"/>
    <w:rsid w:val="00970D32"/>
    <w:rsid w:val="00971292"/>
    <w:rsid w:val="00972229"/>
    <w:rsid w:val="009723EF"/>
    <w:rsid w:val="009728A1"/>
    <w:rsid w:val="009741C2"/>
    <w:rsid w:val="009747E7"/>
    <w:rsid w:val="0097626B"/>
    <w:rsid w:val="0097685E"/>
    <w:rsid w:val="009775B1"/>
    <w:rsid w:val="009777B0"/>
    <w:rsid w:val="0097786D"/>
    <w:rsid w:val="00981463"/>
    <w:rsid w:val="009828C3"/>
    <w:rsid w:val="00983043"/>
    <w:rsid w:val="009832D6"/>
    <w:rsid w:val="00983C0E"/>
    <w:rsid w:val="009845B2"/>
    <w:rsid w:val="0098482F"/>
    <w:rsid w:val="0098553C"/>
    <w:rsid w:val="00986C94"/>
    <w:rsid w:val="00986E5B"/>
    <w:rsid w:val="00990489"/>
    <w:rsid w:val="0099096D"/>
    <w:rsid w:val="00991D80"/>
    <w:rsid w:val="00993607"/>
    <w:rsid w:val="00994BA6"/>
    <w:rsid w:val="00995B45"/>
    <w:rsid w:val="0099701D"/>
    <w:rsid w:val="009A03A3"/>
    <w:rsid w:val="009A0B1C"/>
    <w:rsid w:val="009A13AE"/>
    <w:rsid w:val="009A2639"/>
    <w:rsid w:val="009A4046"/>
    <w:rsid w:val="009A56A4"/>
    <w:rsid w:val="009A68E5"/>
    <w:rsid w:val="009A6A6E"/>
    <w:rsid w:val="009B022D"/>
    <w:rsid w:val="009B0255"/>
    <w:rsid w:val="009B1184"/>
    <w:rsid w:val="009B1410"/>
    <w:rsid w:val="009B25E2"/>
    <w:rsid w:val="009B4093"/>
    <w:rsid w:val="009B6546"/>
    <w:rsid w:val="009B670C"/>
    <w:rsid w:val="009B690D"/>
    <w:rsid w:val="009B6AFD"/>
    <w:rsid w:val="009B6D0E"/>
    <w:rsid w:val="009B6F14"/>
    <w:rsid w:val="009B72BB"/>
    <w:rsid w:val="009B791C"/>
    <w:rsid w:val="009C0AF2"/>
    <w:rsid w:val="009C0C67"/>
    <w:rsid w:val="009C2818"/>
    <w:rsid w:val="009C2DA6"/>
    <w:rsid w:val="009C303A"/>
    <w:rsid w:val="009C3B4B"/>
    <w:rsid w:val="009C5C41"/>
    <w:rsid w:val="009C5FB1"/>
    <w:rsid w:val="009C74CC"/>
    <w:rsid w:val="009C75B1"/>
    <w:rsid w:val="009D0F2E"/>
    <w:rsid w:val="009D1BB6"/>
    <w:rsid w:val="009D1EC2"/>
    <w:rsid w:val="009D3209"/>
    <w:rsid w:val="009D4132"/>
    <w:rsid w:val="009D4311"/>
    <w:rsid w:val="009D4FE7"/>
    <w:rsid w:val="009D5233"/>
    <w:rsid w:val="009D53A3"/>
    <w:rsid w:val="009D5E5D"/>
    <w:rsid w:val="009D606E"/>
    <w:rsid w:val="009D6208"/>
    <w:rsid w:val="009D65E0"/>
    <w:rsid w:val="009D70B0"/>
    <w:rsid w:val="009D759B"/>
    <w:rsid w:val="009E0197"/>
    <w:rsid w:val="009E05E6"/>
    <w:rsid w:val="009E0CE6"/>
    <w:rsid w:val="009E2658"/>
    <w:rsid w:val="009E3767"/>
    <w:rsid w:val="009E4117"/>
    <w:rsid w:val="009E4B22"/>
    <w:rsid w:val="009E5B90"/>
    <w:rsid w:val="009E665D"/>
    <w:rsid w:val="009E6D69"/>
    <w:rsid w:val="009E766D"/>
    <w:rsid w:val="009F0D12"/>
    <w:rsid w:val="009F179A"/>
    <w:rsid w:val="009F191D"/>
    <w:rsid w:val="009F197C"/>
    <w:rsid w:val="009F6065"/>
    <w:rsid w:val="009F6366"/>
    <w:rsid w:val="009F6534"/>
    <w:rsid w:val="00A00226"/>
    <w:rsid w:val="00A011E2"/>
    <w:rsid w:val="00A01C4A"/>
    <w:rsid w:val="00A02846"/>
    <w:rsid w:val="00A043AA"/>
    <w:rsid w:val="00A04A15"/>
    <w:rsid w:val="00A04B73"/>
    <w:rsid w:val="00A04C45"/>
    <w:rsid w:val="00A055FF"/>
    <w:rsid w:val="00A05947"/>
    <w:rsid w:val="00A10B73"/>
    <w:rsid w:val="00A10E1C"/>
    <w:rsid w:val="00A1171C"/>
    <w:rsid w:val="00A1257D"/>
    <w:rsid w:val="00A12D33"/>
    <w:rsid w:val="00A12FB3"/>
    <w:rsid w:val="00A144A6"/>
    <w:rsid w:val="00A1598F"/>
    <w:rsid w:val="00A15B8A"/>
    <w:rsid w:val="00A1603A"/>
    <w:rsid w:val="00A16C00"/>
    <w:rsid w:val="00A16ECC"/>
    <w:rsid w:val="00A2011B"/>
    <w:rsid w:val="00A223C3"/>
    <w:rsid w:val="00A22E88"/>
    <w:rsid w:val="00A233DD"/>
    <w:rsid w:val="00A2367E"/>
    <w:rsid w:val="00A30510"/>
    <w:rsid w:val="00A3052D"/>
    <w:rsid w:val="00A30D69"/>
    <w:rsid w:val="00A30E08"/>
    <w:rsid w:val="00A32007"/>
    <w:rsid w:val="00A32612"/>
    <w:rsid w:val="00A32D67"/>
    <w:rsid w:val="00A332CB"/>
    <w:rsid w:val="00A33D71"/>
    <w:rsid w:val="00A34A28"/>
    <w:rsid w:val="00A36ACC"/>
    <w:rsid w:val="00A40718"/>
    <w:rsid w:val="00A40DAF"/>
    <w:rsid w:val="00A42B36"/>
    <w:rsid w:val="00A43035"/>
    <w:rsid w:val="00A43746"/>
    <w:rsid w:val="00A43A9A"/>
    <w:rsid w:val="00A4561B"/>
    <w:rsid w:val="00A45B20"/>
    <w:rsid w:val="00A45CF9"/>
    <w:rsid w:val="00A5060E"/>
    <w:rsid w:val="00A50955"/>
    <w:rsid w:val="00A51AB4"/>
    <w:rsid w:val="00A5323A"/>
    <w:rsid w:val="00A53B08"/>
    <w:rsid w:val="00A54020"/>
    <w:rsid w:val="00A54441"/>
    <w:rsid w:val="00A56ECB"/>
    <w:rsid w:val="00A56F52"/>
    <w:rsid w:val="00A571D9"/>
    <w:rsid w:val="00A57767"/>
    <w:rsid w:val="00A629B8"/>
    <w:rsid w:val="00A62B07"/>
    <w:rsid w:val="00A62D97"/>
    <w:rsid w:val="00A62F2C"/>
    <w:rsid w:val="00A6406F"/>
    <w:rsid w:val="00A64C5A"/>
    <w:rsid w:val="00A64E27"/>
    <w:rsid w:val="00A656D8"/>
    <w:rsid w:val="00A65A78"/>
    <w:rsid w:val="00A65FF6"/>
    <w:rsid w:val="00A67947"/>
    <w:rsid w:val="00A679E9"/>
    <w:rsid w:val="00A70826"/>
    <w:rsid w:val="00A70BD5"/>
    <w:rsid w:val="00A71017"/>
    <w:rsid w:val="00A7161F"/>
    <w:rsid w:val="00A7270C"/>
    <w:rsid w:val="00A73112"/>
    <w:rsid w:val="00A73E90"/>
    <w:rsid w:val="00A75383"/>
    <w:rsid w:val="00A7773C"/>
    <w:rsid w:val="00A800EB"/>
    <w:rsid w:val="00A81A69"/>
    <w:rsid w:val="00A81C42"/>
    <w:rsid w:val="00A81F0A"/>
    <w:rsid w:val="00A82411"/>
    <w:rsid w:val="00A82C33"/>
    <w:rsid w:val="00A82D92"/>
    <w:rsid w:val="00A834AC"/>
    <w:rsid w:val="00A84334"/>
    <w:rsid w:val="00A85EF2"/>
    <w:rsid w:val="00A86451"/>
    <w:rsid w:val="00A86F8E"/>
    <w:rsid w:val="00A8768D"/>
    <w:rsid w:val="00A87A04"/>
    <w:rsid w:val="00A907C2"/>
    <w:rsid w:val="00A924AE"/>
    <w:rsid w:val="00A92FDD"/>
    <w:rsid w:val="00A94745"/>
    <w:rsid w:val="00A9646F"/>
    <w:rsid w:val="00AA076F"/>
    <w:rsid w:val="00AA0786"/>
    <w:rsid w:val="00AA2E26"/>
    <w:rsid w:val="00AA2E60"/>
    <w:rsid w:val="00AA5554"/>
    <w:rsid w:val="00AA5BB9"/>
    <w:rsid w:val="00AA79F1"/>
    <w:rsid w:val="00AA7AD5"/>
    <w:rsid w:val="00AB0952"/>
    <w:rsid w:val="00AB2B21"/>
    <w:rsid w:val="00AB2C7C"/>
    <w:rsid w:val="00AB37C5"/>
    <w:rsid w:val="00AB4098"/>
    <w:rsid w:val="00AB409D"/>
    <w:rsid w:val="00AB478C"/>
    <w:rsid w:val="00AB530E"/>
    <w:rsid w:val="00AB596D"/>
    <w:rsid w:val="00AB5EB1"/>
    <w:rsid w:val="00AB6428"/>
    <w:rsid w:val="00AB78BE"/>
    <w:rsid w:val="00AC0DAB"/>
    <w:rsid w:val="00AC242C"/>
    <w:rsid w:val="00AC4E9C"/>
    <w:rsid w:val="00AC5130"/>
    <w:rsid w:val="00AC5343"/>
    <w:rsid w:val="00AC571F"/>
    <w:rsid w:val="00AC5902"/>
    <w:rsid w:val="00AC641F"/>
    <w:rsid w:val="00AC73EB"/>
    <w:rsid w:val="00AD07B7"/>
    <w:rsid w:val="00AD1B2C"/>
    <w:rsid w:val="00AD4062"/>
    <w:rsid w:val="00AD53A4"/>
    <w:rsid w:val="00AD548B"/>
    <w:rsid w:val="00AD61C8"/>
    <w:rsid w:val="00AD655B"/>
    <w:rsid w:val="00AD6B6B"/>
    <w:rsid w:val="00AD7802"/>
    <w:rsid w:val="00AE0D19"/>
    <w:rsid w:val="00AE0F3D"/>
    <w:rsid w:val="00AE20B1"/>
    <w:rsid w:val="00AE366F"/>
    <w:rsid w:val="00AE3D51"/>
    <w:rsid w:val="00AE41C2"/>
    <w:rsid w:val="00AE4298"/>
    <w:rsid w:val="00AE53CB"/>
    <w:rsid w:val="00AE53F5"/>
    <w:rsid w:val="00AE5685"/>
    <w:rsid w:val="00AE5812"/>
    <w:rsid w:val="00AE5841"/>
    <w:rsid w:val="00AE637A"/>
    <w:rsid w:val="00AE6869"/>
    <w:rsid w:val="00AF2B33"/>
    <w:rsid w:val="00AF45D7"/>
    <w:rsid w:val="00AF5287"/>
    <w:rsid w:val="00AF5339"/>
    <w:rsid w:val="00AF65FF"/>
    <w:rsid w:val="00AF70FA"/>
    <w:rsid w:val="00AF7538"/>
    <w:rsid w:val="00B0179C"/>
    <w:rsid w:val="00B01E90"/>
    <w:rsid w:val="00B035CE"/>
    <w:rsid w:val="00B0401B"/>
    <w:rsid w:val="00B052EE"/>
    <w:rsid w:val="00B0656D"/>
    <w:rsid w:val="00B065E3"/>
    <w:rsid w:val="00B06662"/>
    <w:rsid w:val="00B06F92"/>
    <w:rsid w:val="00B07602"/>
    <w:rsid w:val="00B101E2"/>
    <w:rsid w:val="00B1097E"/>
    <w:rsid w:val="00B12547"/>
    <w:rsid w:val="00B13D60"/>
    <w:rsid w:val="00B14B86"/>
    <w:rsid w:val="00B15F29"/>
    <w:rsid w:val="00B160A4"/>
    <w:rsid w:val="00B166C9"/>
    <w:rsid w:val="00B168F5"/>
    <w:rsid w:val="00B1719A"/>
    <w:rsid w:val="00B17220"/>
    <w:rsid w:val="00B17394"/>
    <w:rsid w:val="00B17DBD"/>
    <w:rsid w:val="00B22446"/>
    <w:rsid w:val="00B2273E"/>
    <w:rsid w:val="00B228A6"/>
    <w:rsid w:val="00B230F4"/>
    <w:rsid w:val="00B24717"/>
    <w:rsid w:val="00B2523D"/>
    <w:rsid w:val="00B259DF"/>
    <w:rsid w:val="00B27BF2"/>
    <w:rsid w:val="00B30289"/>
    <w:rsid w:val="00B312A4"/>
    <w:rsid w:val="00B31F66"/>
    <w:rsid w:val="00B320EE"/>
    <w:rsid w:val="00B3215E"/>
    <w:rsid w:val="00B3431B"/>
    <w:rsid w:val="00B3668F"/>
    <w:rsid w:val="00B37D56"/>
    <w:rsid w:val="00B41D37"/>
    <w:rsid w:val="00B429B9"/>
    <w:rsid w:val="00B42D19"/>
    <w:rsid w:val="00B45B4E"/>
    <w:rsid w:val="00B46A22"/>
    <w:rsid w:val="00B471FA"/>
    <w:rsid w:val="00B50A5B"/>
    <w:rsid w:val="00B5115A"/>
    <w:rsid w:val="00B518AC"/>
    <w:rsid w:val="00B52319"/>
    <w:rsid w:val="00B52B76"/>
    <w:rsid w:val="00B52D8B"/>
    <w:rsid w:val="00B55F53"/>
    <w:rsid w:val="00B57044"/>
    <w:rsid w:val="00B571CA"/>
    <w:rsid w:val="00B57AAC"/>
    <w:rsid w:val="00B612C0"/>
    <w:rsid w:val="00B620A5"/>
    <w:rsid w:val="00B62E22"/>
    <w:rsid w:val="00B62F55"/>
    <w:rsid w:val="00B648F6"/>
    <w:rsid w:val="00B6494B"/>
    <w:rsid w:val="00B64C05"/>
    <w:rsid w:val="00B65FF5"/>
    <w:rsid w:val="00B66DB9"/>
    <w:rsid w:val="00B701ED"/>
    <w:rsid w:val="00B703F3"/>
    <w:rsid w:val="00B70AF1"/>
    <w:rsid w:val="00B720D5"/>
    <w:rsid w:val="00B72639"/>
    <w:rsid w:val="00B7268E"/>
    <w:rsid w:val="00B72F7D"/>
    <w:rsid w:val="00B75BEB"/>
    <w:rsid w:val="00B75CEC"/>
    <w:rsid w:val="00B80B76"/>
    <w:rsid w:val="00B81165"/>
    <w:rsid w:val="00B81C3B"/>
    <w:rsid w:val="00B8211F"/>
    <w:rsid w:val="00B821D2"/>
    <w:rsid w:val="00B82E3B"/>
    <w:rsid w:val="00B82E7E"/>
    <w:rsid w:val="00B850F5"/>
    <w:rsid w:val="00B85812"/>
    <w:rsid w:val="00B86B02"/>
    <w:rsid w:val="00B86C94"/>
    <w:rsid w:val="00B87205"/>
    <w:rsid w:val="00B900BE"/>
    <w:rsid w:val="00B9071F"/>
    <w:rsid w:val="00B920C7"/>
    <w:rsid w:val="00B923CF"/>
    <w:rsid w:val="00B93A98"/>
    <w:rsid w:val="00B97072"/>
    <w:rsid w:val="00B97646"/>
    <w:rsid w:val="00B97963"/>
    <w:rsid w:val="00B97E2B"/>
    <w:rsid w:val="00BA0599"/>
    <w:rsid w:val="00BA46AF"/>
    <w:rsid w:val="00BA59CC"/>
    <w:rsid w:val="00BA5ADD"/>
    <w:rsid w:val="00BA5CCF"/>
    <w:rsid w:val="00BA61D8"/>
    <w:rsid w:val="00BB02EA"/>
    <w:rsid w:val="00BB258B"/>
    <w:rsid w:val="00BB302D"/>
    <w:rsid w:val="00BB368B"/>
    <w:rsid w:val="00BB4201"/>
    <w:rsid w:val="00BB4335"/>
    <w:rsid w:val="00BB47AD"/>
    <w:rsid w:val="00BB6551"/>
    <w:rsid w:val="00BB6685"/>
    <w:rsid w:val="00BB6713"/>
    <w:rsid w:val="00BB6E6D"/>
    <w:rsid w:val="00BB7CCD"/>
    <w:rsid w:val="00BC0201"/>
    <w:rsid w:val="00BC03D8"/>
    <w:rsid w:val="00BC0780"/>
    <w:rsid w:val="00BC0D11"/>
    <w:rsid w:val="00BC1F65"/>
    <w:rsid w:val="00BC3585"/>
    <w:rsid w:val="00BC388C"/>
    <w:rsid w:val="00BC481C"/>
    <w:rsid w:val="00BC5085"/>
    <w:rsid w:val="00BC5303"/>
    <w:rsid w:val="00BC5522"/>
    <w:rsid w:val="00BC5907"/>
    <w:rsid w:val="00BC5C3E"/>
    <w:rsid w:val="00BC5F96"/>
    <w:rsid w:val="00BC7879"/>
    <w:rsid w:val="00BC7FAA"/>
    <w:rsid w:val="00BD1E20"/>
    <w:rsid w:val="00BD2208"/>
    <w:rsid w:val="00BD30BC"/>
    <w:rsid w:val="00BD3C5C"/>
    <w:rsid w:val="00BD4BA9"/>
    <w:rsid w:val="00BD5881"/>
    <w:rsid w:val="00BD7E2E"/>
    <w:rsid w:val="00BE18AA"/>
    <w:rsid w:val="00BE1D40"/>
    <w:rsid w:val="00BE2D33"/>
    <w:rsid w:val="00BE347C"/>
    <w:rsid w:val="00BE45C2"/>
    <w:rsid w:val="00BE6E43"/>
    <w:rsid w:val="00BE78C0"/>
    <w:rsid w:val="00BF05F1"/>
    <w:rsid w:val="00BF0A9D"/>
    <w:rsid w:val="00BF15D3"/>
    <w:rsid w:val="00BF184C"/>
    <w:rsid w:val="00BF1BF6"/>
    <w:rsid w:val="00BF326F"/>
    <w:rsid w:val="00BF39A9"/>
    <w:rsid w:val="00BF3A47"/>
    <w:rsid w:val="00BF3E49"/>
    <w:rsid w:val="00BF49FC"/>
    <w:rsid w:val="00BF4A2B"/>
    <w:rsid w:val="00BF6BBE"/>
    <w:rsid w:val="00BF6C52"/>
    <w:rsid w:val="00BF733D"/>
    <w:rsid w:val="00C00287"/>
    <w:rsid w:val="00C00AF4"/>
    <w:rsid w:val="00C00B2F"/>
    <w:rsid w:val="00C00FD3"/>
    <w:rsid w:val="00C017EA"/>
    <w:rsid w:val="00C01F81"/>
    <w:rsid w:val="00C02AC8"/>
    <w:rsid w:val="00C04662"/>
    <w:rsid w:val="00C062F7"/>
    <w:rsid w:val="00C0752E"/>
    <w:rsid w:val="00C102D3"/>
    <w:rsid w:val="00C109CC"/>
    <w:rsid w:val="00C10C6E"/>
    <w:rsid w:val="00C112A4"/>
    <w:rsid w:val="00C11C2B"/>
    <w:rsid w:val="00C12A38"/>
    <w:rsid w:val="00C12B40"/>
    <w:rsid w:val="00C13134"/>
    <w:rsid w:val="00C133AF"/>
    <w:rsid w:val="00C13A02"/>
    <w:rsid w:val="00C13EC8"/>
    <w:rsid w:val="00C14BA5"/>
    <w:rsid w:val="00C1595D"/>
    <w:rsid w:val="00C16CBD"/>
    <w:rsid w:val="00C173B7"/>
    <w:rsid w:val="00C21E19"/>
    <w:rsid w:val="00C22F36"/>
    <w:rsid w:val="00C24AC9"/>
    <w:rsid w:val="00C251CC"/>
    <w:rsid w:val="00C26707"/>
    <w:rsid w:val="00C2693D"/>
    <w:rsid w:val="00C26E80"/>
    <w:rsid w:val="00C329CD"/>
    <w:rsid w:val="00C32C9F"/>
    <w:rsid w:val="00C357B0"/>
    <w:rsid w:val="00C3585E"/>
    <w:rsid w:val="00C37385"/>
    <w:rsid w:val="00C40150"/>
    <w:rsid w:val="00C40BE1"/>
    <w:rsid w:val="00C42D6A"/>
    <w:rsid w:val="00C43BE3"/>
    <w:rsid w:val="00C44DB7"/>
    <w:rsid w:val="00C44F0A"/>
    <w:rsid w:val="00C45ECA"/>
    <w:rsid w:val="00C46FB1"/>
    <w:rsid w:val="00C53462"/>
    <w:rsid w:val="00C5368E"/>
    <w:rsid w:val="00C53730"/>
    <w:rsid w:val="00C53B4C"/>
    <w:rsid w:val="00C5570C"/>
    <w:rsid w:val="00C55E83"/>
    <w:rsid w:val="00C614B5"/>
    <w:rsid w:val="00C61508"/>
    <w:rsid w:val="00C61CAF"/>
    <w:rsid w:val="00C631B8"/>
    <w:rsid w:val="00C65CAD"/>
    <w:rsid w:val="00C7061C"/>
    <w:rsid w:val="00C734F8"/>
    <w:rsid w:val="00C74BAE"/>
    <w:rsid w:val="00C74E31"/>
    <w:rsid w:val="00C75DB8"/>
    <w:rsid w:val="00C7623E"/>
    <w:rsid w:val="00C77896"/>
    <w:rsid w:val="00C77F5D"/>
    <w:rsid w:val="00C80EE7"/>
    <w:rsid w:val="00C812ED"/>
    <w:rsid w:val="00C813CB"/>
    <w:rsid w:val="00C81F02"/>
    <w:rsid w:val="00C82C42"/>
    <w:rsid w:val="00C834EF"/>
    <w:rsid w:val="00C8470D"/>
    <w:rsid w:val="00C84C24"/>
    <w:rsid w:val="00C84D58"/>
    <w:rsid w:val="00C84DBF"/>
    <w:rsid w:val="00C8536F"/>
    <w:rsid w:val="00C85527"/>
    <w:rsid w:val="00C90969"/>
    <w:rsid w:val="00C9178E"/>
    <w:rsid w:val="00C917E8"/>
    <w:rsid w:val="00C922D0"/>
    <w:rsid w:val="00C92E01"/>
    <w:rsid w:val="00C93910"/>
    <w:rsid w:val="00C941DB"/>
    <w:rsid w:val="00C95160"/>
    <w:rsid w:val="00C9523E"/>
    <w:rsid w:val="00C956E4"/>
    <w:rsid w:val="00C95B09"/>
    <w:rsid w:val="00C9618C"/>
    <w:rsid w:val="00C969E4"/>
    <w:rsid w:val="00C96A25"/>
    <w:rsid w:val="00CA01F0"/>
    <w:rsid w:val="00CA062B"/>
    <w:rsid w:val="00CA0E74"/>
    <w:rsid w:val="00CA0F00"/>
    <w:rsid w:val="00CA2C03"/>
    <w:rsid w:val="00CA495B"/>
    <w:rsid w:val="00CA545D"/>
    <w:rsid w:val="00CA6967"/>
    <w:rsid w:val="00CA6EEC"/>
    <w:rsid w:val="00CA7447"/>
    <w:rsid w:val="00CA79A9"/>
    <w:rsid w:val="00CB00EA"/>
    <w:rsid w:val="00CB195E"/>
    <w:rsid w:val="00CB2203"/>
    <w:rsid w:val="00CB3CE8"/>
    <w:rsid w:val="00CB4DA8"/>
    <w:rsid w:val="00CB56E0"/>
    <w:rsid w:val="00CB7463"/>
    <w:rsid w:val="00CC0D66"/>
    <w:rsid w:val="00CC1A83"/>
    <w:rsid w:val="00CC1DFB"/>
    <w:rsid w:val="00CC2E23"/>
    <w:rsid w:val="00CC3681"/>
    <w:rsid w:val="00CC4801"/>
    <w:rsid w:val="00CC4BE7"/>
    <w:rsid w:val="00CC5AA6"/>
    <w:rsid w:val="00CC6A73"/>
    <w:rsid w:val="00CD04D9"/>
    <w:rsid w:val="00CD2030"/>
    <w:rsid w:val="00CD2183"/>
    <w:rsid w:val="00CD2D7D"/>
    <w:rsid w:val="00CD4796"/>
    <w:rsid w:val="00CD47CA"/>
    <w:rsid w:val="00CD5A13"/>
    <w:rsid w:val="00CD5B00"/>
    <w:rsid w:val="00CE037C"/>
    <w:rsid w:val="00CE07C2"/>
    <w:rsid w:val="00CE25E1"/>
    <w:rsid w:val="00CE2DD2"/>
    <w:rsid w:val="00CE30B3"/>
    <w:rsid w:val="00CE336D"/>
    <w:rsid w:val="00CE40C7"/>
    <w:rsid w:val="00CE4579"/>
    <w:rsid w:val="00CE4B03"/>
    <w:rsid w:val="00CE4BF0"/>
    <w:rsid w:val="00CF00F0"/>
    <w:rsid w:val="00CF2F54"/>
    <w:rsid w:val="00CF2FD7"/>
    <w:rsid w:val="00CF3D6A"/>
    <w:rsid w:val="00CF3E93"/>
    <w:rsid w:val="00CF3FAE"/>
    <w:rsid w:val="00CF4989"/>
    <w:rsid w:val="00CF4CF3"/>
    <w:rsid w:val="00CF51E9"/>
    <w:rsid w:val="00CF5FE5"/>
    <w:rsid w:val="00CF7DA0"/>
    <w:rsid w:val="00CF7FED"/>
    <w:rsid w:val="00D00A76"/>
    <w:rsid w:val="00D00E5A"/>
    <w:rsid w:val="00D01AE8"/>
    <w:rsid w:val="00D02E80"/>
    <w:rsid w:val="00D03A2F"/>
    <w:rsid w:val="00D03B2D"/>
    <w:rsid w:val="00D04550"/>
    <w:rsid w:val="00D04FE4"/>
    <w:rsid w:val="00D057E1"/>
    <w:rsid w:val="00D05B2C"/>
    <w:rsid w:val="00D06ABF"/>
    <w:rsid w:val="00D06F47"/>
    <w:rsid w:val="00D10128"/>
    <w:rsid w:val="00D12599"/>
    <w:rsid w:val="00D126BA"/>
    <w:rsid w:val="00D13867"/>
    <w:rsid w:val="00D14AC3"/>
    <w:rsid w:val="00D15C97"/>
    <w:rsid w:val="00D16AB4"/>
    <w:rsid w:val="00D16C6E"/>
    <w:rsid w:val="00D2028C"/>
    <w:rsid w:val="00D23ACD"/>
    <w:rsid w:val="00D249C2"/>
    <w:rsid w:val="00D24EE4"/>
    <w:rsid w:val="00D255C2"/>
    <w:rsid w:val="00D304DD"/>
    <w:rsid w:val="00D30A50"/>
    <w:rsid w:val="00D3149A"/>
    <w:rsid w:val="00D3190E"/>
    <w:rsid w:val="00D31A88"/>
    <w:rsid w:val="00D320F8"/>
    <w:rsid w:val="00D3257D"/>
    <w:rsid w:val="00D336D4"/>
    <w:rsid w:val="00D344B1"/>
    <w:rsid w:val="00D34797"/>
    <w:rsid w:val="00D35EAF"/>
    <w:rsid w:val="00D3638A"/>
    <w:rsid w:val="00D378C8"/>
    <w:rsid w:val="00D40CA5"/>
    <w:rsid w:val="00D42404"/>
    <w:rsid w:val="00D439CF"/>
    <w:rsid w:val="00D43C9B"/>
    <w:rsid w:val="00D46131"/>
    <w:rsid w:val="00D4744C"/>
    <w:rsid w:val="00D50C4B"/>
    <w:rsid w:val="00D51DEC"/>
    <w:rsid w:val="00D5201A"/>
    <w:rsid w:val="00D52223"/>
    <w:rsid w:val="00D5287D"/>
    <w:rsid w:val="00D555DE"/>
    <w:rsid w:val="00D559FD"/>
    <w:rsid w:val="00D56978"/>
    <w:rsid w:val="00D56FE6"/>
    <w:rsid w:val="00D57314"/>
    <w:rsid w:val="00D57BE9"/>
    <w:rsid w:val="00D62585"/>
    <w:rsid w:val="00D641A4"/>
    <w:rsid w:val="00D6532B"/>
    <w:rsid w:val="00D67D34"/>
    <w:rsid w:val="00D714C8"/>
    <w:rsid w:val="00D737D7"/>
    <w:rsid w:val="00D73ED9"/>
    <w:rsid w:val="00D74B61"/>
    <w:rsid w:val="00D75D99"/>
    <w:rsid w:val="00D7622D"/>
    <w:rsid w:val="00D7675A"/>
    <w:rsid w:val="00D768A5"/>
    <w:rsid w:val="00D76D7D"/>
    <w:rsid w:val="00D770A3"/>
    <w:rsid w:val="00D77A0B"/>
    <w:rsid w:val="00D77F92"/>
    <w:rsid w:val="00D805BD"/>
    <w:rsid w:val="00D80AC1"/>
    <w:rsid w:val="00D816EA"/>
    <w:rsid w:val="00D81B59"/>
    <w:rsid w:val="00D8285D"/>
    <w:rsid w:val="00D82EE1"/>
    <w:rsid w:val="00D83E67"/>
    <w:rsid w:val="00D84A7D"/>
    <w:rsid w:val="00D85908"/>
    <w:rsid w:val="00D8594E"/>
    <w:rsid w:val="00D86D11"/>
    <w:rsid w:val="00D90853"/>
    <w:rsid w:val="00D90E37"/>
    <w:rsid w:val="00D90F59"/>
    <w:rsid w:val="00D91C79"/>
    <w:rsid w:val="00D9246C"/>
    <w:rsid w:val="00D92531"/>
    <w:rsid w:val="00D92C20"/>
    <w:rsid w:val="00D92EC1"/>
    <w:rsid w:val="00D93780"/>
    <w:rsid w:val="00D93CED"/>
    <w:rsid w:val="00D948C2"/>
    <w:rsid w:val="00D95EBC"/>
    <w:rsid w:val="00D96969"/>
    <w:rsid w:val="00D96A5C"/>
    <w:rsid w:val="00D974E3"/>
    <w:rsid w:val="00D97881"/>
    <w:rsid w:val="00DA1FF8"/>
    <w:rsid w:val="00DA269B"/>
    <w:rsid w:val="00DA3FC4"/>
    <w:rsid w:val="00DA54BA"/>
    <w:rsid w:val="00DA6845"/>
    <w:rsid w:val="00DA6E01"/>
    <w:rsid w:val="00DA798B"/>
    <w:rsid w:val="00DA7D5C"/>
    <w:rsid w:val="00DB00DE"/>
    <w:rsid w:val="00DB05EE"/>
    <w:rsid w:val="00DB0FE1"/>
    <w:rsid w:val="00DB1B87"/>
    <w:rsid w:val="00DB1BDE"/>
    <w:rsid w:val="00DB219E"/>
    <w:rsid w:val="00DB246E"/>
    <w:rsid w:val="00DB33D0"/>
    <w:rsid w:val="00DB4796"/>
    <w:rsid w:val="00DB57E1"/>
    <w:rsid w:val="00DB73C8"/>
    <w:rsid w:val="00DC02BD"/>
    <w:rsid w:val="00DC0B64"/>
    <w:rsid w:val="00DC21CE"/>
    <w:rsid w:val="00DC22BF"/>
    <w:rsid w:val="00DC2AB9"/>
    <w:rsid w:val="00DC3D2C"/>
    <w:rsid w:val="00DC3F7B"/>
    <w:rsid w:val="00DC4104"/>
    <w:rsid w:val="00DC45E1"/>
    <w:rsid w:val="00DC4EF5"/>
    <w:rsid w:val="00DC50B3"/>
    <w:rsid w:val="00DC5D87"/>
    <w:rsid w:val="00DC6024"/>
    <w:rsid w:val="00DC65CB"/>
    <w:rsid w:val="00DC72BF"/>
    <w:rsid w:val="00DC76CF"/>
    <w:rsid w:val="00DD1C00"/>
    <w:rsid w:val="00DD1C01"/>
    <w:rsid w:val="00DD2247"/>
    <w:rsid w:val="00DD22B4"/>
    <w:rsid w:val="00DD527D"/>
    <w:rsid w:val="00DD56A1"/>
    <w:rsid w:val="00DD5A15"/>
    <w:rsid w:val="00DD6069"/>
    <w:rsid w:val="00DD71AD"/>
    <w:rsid w:val="00DD796F"/>
    <w:rsid w:val="00DE39BA"/>
    <w:rsid w:val="00DE3C9B"/>
    <w:rsid w:val="00DE447C"/>
    <w:rsid w:val="00DE560B"/>
    <w:rsid w:val="00DE643B"/>
    <w:rsid w:val="00DE721B"/>
    <w:rsid w:val="00DF1154"/>
    <w:rsid w:val="00DF125B"/>
    <w:rsid w:val="00DF1DB3"/>
    <w:rsid w:val="00DF2C73"/>
    <w:rsid w:val="00DF3A94"/>
    <w:rsid w:val="00DF4A2B"/>
    <w:rsid w:val="00DF5538"/>
    <w:rsid w:val="00DF6FEF"/>
    <w:rsid w:val="00DF7F64"/>
    <w:rsid w:val="00E00429"/>
    <w:rsid w:val="00E00454"/>
    <w:rsid w:val="00E01209"/>
    <w:rsid w:val="00E01E02"/>
    <w:rsid w:val="00E021B2"/>
    <w:rsid w:val="00E035E8"/>
    <w:rsid w:val="00E037C9"/>
    <w:rsid w:val="00E051E4"/>
    <w:rsid w:val="00E06250"/>
    <w:rsid w:val="00E065EE"/>
    <w:rsid w:val="00E07A3C"/>
    <w:rsid w:val="00E1006A"/>
    <w:rsid w:val="00E101F0"/>
    <w:rsid w:val="00E1034C"/>
    <w:rsid w:val="00E10E50"/>
    <w:rsid w:val="00E1176D"/>
    <w:rsid w:val="00E11B34"/>
    <w:rsid w:val="00E127A9"/>
    <w:rsid w:val="00E13A4F"/>
    <w:rsid w:val="00E13AD1"/>
    <w:rsid w:val="00E13E80"/>
    <w:rsid w:val="00E147DE"/>
    <w:rsid w:val="00E14C58"/>
    <w:rsid w:val="00E165DB"/>
    <w:rsid w:val="00E17086"/>
    <w:rsid w:val="00E20888"/>
    <w:rsid w:val="00E2134B"/>
    <w:rsid w:val="00E21BA4"/>
    <w:rsid w:val="00E22086"/>
    <w:rsid w:val="00E22193"/>
    <w:rsid w:val="00E22446"/>
    <w:rsid w:val="00E22735"/>
    <w:rsid w:val="00E23A76"/>
    <w:rsid w:val="00E25B2A"/>
    <w:rsid w:val="00E267B5"/>
    <w:rsid w:val="00E27DD7"/>
    <w:rsid w:val="00E27EBF"/>
    <w:rsid w:val="00E30144"/>
    <w:rsid w:val="00E306FD"/>
    <w:rsid w:val="00E32355"/>
    <w:rsid w:val="00E329C9"/>
    <w:rsid w:val="00E32EC0"/>
    <w:rsid w:val="00E36646"/>
    <w:rsid w:val="00E36A08"/>
    <w:rsid w:val="00E37876"/>
    <w:rsid w:val="00E40EA8"/>
    <w:rsid w:val="00E40EC6"/>
    <w:rsid w:val="00E40F40"/>
    <w:rsid w:val="00E41E2E"/>
    <w:rsid w:val="00E42676"/>
    <w:rsid w:val="00E42852"/>
    <w:rsid w:val="00E43C47"/>
    <w:rsid w:val="00E4484C"/>
    <w:rsid w:val="00E460C1"/>
    <w:rsid w:val="00E5030A"/>
    <w:rsid w:val="00E508D6"/>
    <w:rsid w:val="00E512AF"/>
    <w:rsid w:val="00E51A24"/>
    <w:rsid w:val="00E528D6"/>
    <w:rsid w:val="00E52BFD"/>
    <w:rsid w:val="00E52C86"/>
    <w:rsid w:val="00E532CA"/>
    <w:rsid w:val="00E542D2"/>
    <w:rsid w:val="00E54E78"/>
    <w:rsid w:val="00E56C65"/>
    <w:rsid w:val="00E57C81"/>
    <w:rsid w:val="00E6144A"/>
    <w:rsid w:val="00E61E0F"/>
    <w:rsid w:val="00E62031"/>
    <w:rsid w:val="00E6269A"/>
    <w:rsid w:val="00E62F3B"/>
    <w:rsid w:val="00E6428F"/>
    <w:rsid w:val="00E64917"/>
    <w:rsid w:val="00E6711D"/>
    <w:rsid w:val="00E70DF4"/>
    <w:rsid w:val="00E71024"/>
    <w:rsid w:val="00E71306"/>
    <w:rsid w:val="00E71510"/>
    <w:rsid w:val="00E73BE1"/>
    <w:rsid w:val="00E73F2F"/>
    <w:rsid w:val="00E74057"/>
    <w:rsid w:val="00E7406C"/>
    <w:rsid w:val="00E747C3"/>
    <w:rsid w:val="00E74C4E"/>
    <w:rsid w:val="00E751F7"/>
    <w:rsid w:val="00E76200"/>
    <w:rsid w:val="00E76945"/>
    <w:rsid w:val="00E772E2"/>
    <w:rsid w:val="00E809D4"/>
    <w:rsid w:val="00E80FE0"/>
    <w:rsid w:val="00E81BB6"/>
    <w:rsid w:val="00E83321"/>
    <w:rsid w:val="00E8360C"/>
    <w:rsid w:val="00E838A2"/>
    <w:rsid w:val="00E83C67"/>
    <w:rsid w:val="00E8466B"/>
    <w:rsid w:val="00E90264"/>
    <w:rsid w:val="00E95DE2"/>
    <w:rsid w:val="00E9661E"/>
    <w:rsid w:val="00E970F8"/>
    <w:rsid w:val="00E97B70"/>
    <w:rsid w:val="00EA0DC7"/>
    <w:rsid w:val="00EA1867"/>
    <w:rsid w:val="00EA1ED9"/>
    <w:rsid w:val="00EA2A56"/>
    <w:rsid w:val="00EA32D6"/>
    <w:rsid w:val="00EA3AE6"/>
    <w:rsid w:val="00EA43EE"/>
    <w:rsid w:val="00EA443F"/>
    <w:rsid w:val="00EA46E4"/>
    <w:rsid w:val="00EA6206"/>
    <w:rsid w:val="00EB13D4"/>
    <w:rsid w:val="00EB4727"/>
    <w:rsid w:val="00EB5397"/>
    <w:rsid w:val="00EB5EAE"/>
    <w:rsid w:val="00EB6140"/>
    <w:rsid w:val="00EB6DA8"/>
    <w:rsid w:val="00EB7BB6"/>
    <w:rsid w:val="00EB7E9F"/>
    <w:rsid w:val="00EC032D"/>
    <w:rsid w:val="00EC06A0"/>
    <w:rsid w:val="00EC07EB"/>
    <w:rsid w:val="00EC0C67"/>
    <w:rsid w:val="00EC1639"/>
    <w:rsid w:val="00EC2343"/>
    <w:rsid w:val="00EC3ACC"/>
    <w:rsid w:val="00EC4D74"/>
    <w:rsid w:val="00EC611B"/>
    <w:rsid w:val="00EC729B"/>
    <w:rsid w:val="00ED2205"/>
    <w:rsid w:val="00ED24A9"/>
    <w:rsid w:val="00ED278E"/>
    <w:rsid w:val="00ED3F3A"/>
    <w:rsid w:val="00ED59FA"/>
    <w:rsid w:val="00ED627A"/>
    <w:rsid w:val="00ED6367"/>
    <w:rsid w:val="00ED7C42"/>
    <w:rsid w:val="00EE2A0E"/>
    <w:rsid w:val="00EE3242"/>
    <w:rsid w:val="00EE3634"/>
    <w:rsid w:val="00EE55D6"/>
    <w:rsid w:val="00EE62A2"/>
    <w:rsid w:val="00EE7150"/>
    <w:rsid w:val="00EF0596"/>
    <w:rsid w:val="00EF0904"/>
    <w:rsid w:val="00EF1F8E"/>
    <w:rsid w:val="00EF30E9"/>
    <w:rsid w:val="00EF41D7"/>
    <w:rsid w:val="00EF4248"/>
    <w:rsid w:val="00EF442B"/>
    <w:rsid w:val="00EF4B56"/>
    <w:rsid w:val="00EF4CB1"/>
    <w:rsid w:val="00EF50E7"/>
    <w:rsid w:val="00EF5FA2"/>
    <w:rsid w:val="00EF62F9"/>
    <w:rsid w:val="00EF6B2E"/>
    <w:rsid w:val="00EF6FF6"/>
    <w:rsid w:val="00F008EF"/>
    <w:rsid w:val="00F0109C"/>
    <w:rsid w:val="00F02D94"/>
    <w:rsid w:val="00F03917"/>
    <w:rsid w:val="00F03EA8"/>
    <w:rsid w:val="00F04BAF"/>
    <w:rsid w:val="00F0729C"/>
    <w:rsid w:val="00F076E7"/>
    <w:rsid w:val="00F122C4"/>
    <w:rsid w:val="00F13498"/>
    <w:rsid w:val="00F1354D"/>
    <w:rsid w:val="00F13B93"/>
    <w:rsid w:val="00F14695"/>
    <w:rsid w:val="00F1475A"/>
    <w:rsid w:val="00F14819"/>
    <w:rsid w:val="00F14A8C"/>
    <w:rsid w:val="00F14E0B"/>
    <w:rsid w:val="00F16196"/>
    <w:rsid w:val="00F163D5"/>
    <w:rsid w:val="00F1669F"/>
    <w:rsid w:val="00F1697F"/>
    <w:rsid w:val="00F17171"/>
    <w:rsid w:val="00F207DB"/>
    <w:rsid w:val="00F20972"/>
    <w:rsid w:val="00F221D8"/>
    <w:rsid w:val="00F22258"/>
    <w:rsid w:val="00F224F8"/>
    <w:rsid w:val="00F228AD"/>
    <w:rsid w:val="00F2298A"/>
    <w:rsid w:val="00F235BD"/>
    <w:rsid w:val="00F2445B"/>
    <w:rsid w:val="00F24FDB"/>
    <w:rsid w:val="00F2633B"/>
    <w:rsid w:val="00F276EC"/>
    <w:rsid w:val="00F2772F"/>
    <w:rsid w:val="00F307BF"/>
    <w:rsid w:val="00F30B41"/>
    <w:rsid w:val="00F31F20"/>
    <w:rsid w:val="00F32409"/>
    <w:rsid w:val="00F333C7"/>
    <w:rsid w:val="00F3395A"/>
    <w:rsid w:val="00F35412"/>
    <w:rsid w:val="00F357BD"/>
    <w:rsid w:val="00F3657F"/>
    <w:rsid w:val="00F36AC4"/>
    <w:rsid w:val="00F37DC9"/>
    <w:rsid w:val="00F40825"/>
    <w:rsid w:val="00F43AA6"/>
    <w:rsid w:val="00F44CD5"/>
    <w:rsid w:val="00F4568D"/>
    <w:rsid w:val="00F4607B"/>
    <w:rsid w:val="00F46C61"/>
    <w:rsid w:val="00F47716"/>
    <w:rsid w:val="00F47A5A"/>
    <w:rsid w:val="00F5053D"/>
    <w:rsid w:val="00F50A70"/>
    <w:rsid w:val="00F520E9"/>
    <w:rsid w:val="00F5307E"/>
    <w:rsid w:val="00F534CB"/>
    <w:rsid w:val="00F5441F"/>
    <w:rsid w:val="00F54677"/>
    <w:rsid w:val="00F55A30"/>
    <w:rsid w:val="00F55C88"/>
    <w:rsid w:val="00F5693A"/>
    <w:rsid w:val="00F56A5C"/>
    <w:rsid w:val="00F56D52"/>
    <w:rsid w:val="00F602D0"/>
    <w:rsid w:val="00F6030D"/>
    <w:rsid w:val="00F610C3"/>
    <w:rsid w:val="00F61B51"/>
    <w:rsid w:val="00F61EA1"/>
    <w:rsid w:val="00F61F98"/>
    <w:rsid w:val="00F6463C"/>
    <w:rsid w:val="00F64FEB"/>
    <w:rsid w:val="00F66580"/>
    <w:rsid w:val="00F6662E"/>
    <w:rsid w:val="00F66B36"/>
    <w:rsid w:val="00F66FED"/>
    <w:rsid w:val="00F671C9"/>
    <w:rsid w:val="00F6744B"/>
    <w:rsid w:val="00F6799A"/>
    <w:rsid w:val="00F67B39"/>
    <w:rsid w:val="00F67C38"/>
    <w:rsid w:val="00F67D0B"/>
    <w:rsid w:val="00F67D97"/>
    <w:rsid w:val="00F72CA6"/>
    <w:rsid w:val="00F73A52"/>
    <w:rsid w:val="00F73F5A"/>
    <w:rsid w:val="00F740CD"/>
    <w:rsid w:val="00F761AF"/>
    <w:rsid w:val="00F76BC9"/>
    <w:rsid w:val="00F774B2"/>
    <w:rsid w:val="00F779B2"/>
    <w:rsid w:val="00F77BC8"/>
    <w:rsid w:val="00F77D7E"/>
    <w:rsid w:val="00F80A6B"/>
    <w:rsid w:val="00F82D33"/>
    <w:rsid w:val="00F8408B"/>
    <w:rsid w:val="00F849FE"/>
    <w:rsid w:val="00F864B1"/>
    <w:rsid w:val="00F87A08"/>
    <w:rsid w:val="00F906BD"/>
    <w:rsid w:val="00F913ED"/>
    <w:rsid w:val="00F923FC"/>
    <w:rsid w:val="00F92BD5"/>
    <w:rsid w:val="00F92FED"/>
    <w:rsid w:val="00F93369"/>
    <w:rsid w:val="00F94ED8"/>
    <w:rsid w:val="00F9588F"/>
    <w:rsid w:val="00F95FD3"/>
    <w:rsid w:val="00F96249"/>
    <w:rsid w:val="00F967F1"/>
    <w:rsid w:val="00F96B65"/>
    <w:rsid w:val="00F979F1"/>
    <w:rsid w:val="00F97D79"/>
    <w:rsid w:val="00FA0529"/>
    <w:rsid w:val="00FA0F4F"/>
    <w:rsid w:val="00FA1606"/>
    <w:rsid w:val="00FA2DA7"/>
    <w:rsid w:val="00FA344C"/>
    <w:rsid w:val="00FA3F67"/>
    <w:rsid w:val="00FA46B2"/>
    <w:rsid w:val="00FA4EEF"/>
    <w:rsid w:val="00FA52BE"/>
    <w:rsid w:val="00FA54D1"/>
    <w:rsid w:val="00FA57C4"/>
    <w:rsid w:val="00FA59AF"/>
    <w:rsid w:val="00FA6186"/>
    <w:rsid w:val="00FA7A40"/>
    <w:rsid w:val="00FA7E6E"/>
    <w:rsid w:val="00FA7FD6"/>
    <w:rsid w:val="00FB08CA"/>
    <w:rsid w:val="00FB0B22"/>
    <w:rsid w:val="00FB2944"/>
    <w:rsid w:val="00FB34D0"/>
    <w:rsid w:val="00FB3BB3"/>
    <w:rsid w:val="00FB4864"/>
    <w:rsid w:val="00FB52C5"/>
    <w:rsid w:val="00FB7DCD"/>
    <w:rsid w:val="00FC1EAF"/>
    <w:rsid w:val="00FC32B5"/>
    <w:rsid w:val="00FC3975"/>
    <w:rsid w:val="00FC5442"/>
    <w:rsid w:val="00FC744B"/>
    <w:rsid w:val="00FD004D"/>
    <w:rsid w:val="00FD24B2"/>
    <w:rsid w:val="00FD4739"/>
    <w:rsid w:val="00FD4A6E"/>
    <w:rsid w:val="00FD5092"/>
    <w:rsid w:val="00FD5848"/>
    <w:rsid w:val="00FD7E8E"/>
    <w:rsid w:val="00FE00B5"/>
    <w:rsid w:val="00FE1299"/>
    <w:rsid w:val="00FE29F5"/>
    <w:rsid w:val="00FE3B05"/>
    <w:rsid w:val="00FE3B0C"/>
    <w:rsid w:val="00FE543B"/>
    <w:rsid w:val="00FE5C18"/>
    <w:rsid w:val="00FE648B"/>
    <w:rsid w:val="00FE727B"/>
    <w:rsid w:val="00FF0E08"/>
    <w:rsid w:val="00FF1167"/>
    <w:rsid w:val="00FF1E53"/>
    <w:rsid w:val="00FF2807"/>
    <w:rsid w:val="00FF3324"/>
    <w:rsid w:val="00FF7245"/>
    <w:rsid w:val="48821C8E"/>
    <w:rsid w:val="6FEC34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99"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3"/>
    <w:qFormat/>
    <w:uiPriority w:val="0"/>
    <w:pPr>
      <w:keepNext/>
      <w:keepLines/>
      <w:numPr>
        <w:ilvl w:val="0"/>
        <w:numId w:val="1"/>
      </w:numPr>
      <w:spacing w:beforeLines="50" w:afterLines="50" w:line="360" w:lineRule="auto"/>
      <w:outlineLvl w:val="0"/>
    </w:pPr>
    <w:rPr>
      <w:b/>
      <w:bCs/>
      <w:kern w:val="44"/>
      <w:sz w:val="44"/>
      <w:szCs w:val="44"/>
    </w:rPr>
  </w:style>
  <w:style w:type="paragraph" w:styleId="4">
    <w:name w:val="heading 2"/>
    <w:basedOn w:val="1"/>
    <w:next w:val="3"/>
    <w:qFormat/>
    <w:uiPriority w:val="0"/>
    <w:pPr>
      <w:keepNext/>
      <w:keepLines/>
      <w:numPr>
        <w:ilvl w:val="1"/>
        <w:numId w:val="1"/>
      </w:numPr>
      <w:spacing w:beforeLines="50" w:afterLines="50" w:line="360" w:lineRule="auto"/>
      <w:outlineLvl w:val="1"/>
    </w:pPr>
    <w:rPr>
      <w:rFonts w:ascii="Arial" w:hAnsi="Arial"/>
      <w:b/>
      <w:bCs/>
      <w:sz w:val="36"/>
      <w:szCs w:val="32"/>
    </w:rPr>
  </w:style>
  <w:style w:type="paragraph" w:styleId="5">
    <w:name w:val="heading 3"/>
    <w:basedOn w:val="1"/>
    <w:next w:val="3"/>
    <w:link w:val="72"/>
    <w:qFormat/>
    <w:uiPriority w:val="0"/>
    <w:pPr>
      <w:keepNext/>
      <w:keepLines/>
      <w:numPr>
        <w:ilvl w:val="2"/>
        <w:numId w:val="1"/>
      </w:numPr>
      <w:spacing w:beforeLines="50" w:afterLines="50" w:line="360" w:lineRule="auto"/>
      <w:outlineLvl w:val="2"/>
    </w:pPr>
    <w:rPr>
      <w:b/>
      <w:bCs/>
      <w:sz w:val="32"/>
      <w:szCs w:val="32"/>
    </w:rPr>
  </w:style>
  <w:style w:type="paragraph" w:styleId="6">
    <w:name w:val="heading 4"/>
    <w:basedOn w:val="1"/>
    <w:next w:val="3"/>
    <w:link w:val="73"/>
    <w:qFormat/>
    <w:uiPriority w:val="0"/>
    <w:pPr>
      <w:keepNext/>
      <w:keepLines/>
      <w:numPr>
        <w:ilvl w:val="3"/>
        <w:numId w:val="1"/>
      </w:numPr>
      <w:spacing w:beforeLines="50" w:afterLines="50" w:line="360" w:lineRule="auto"/>
      <w:outlineLvl w:val="3"/>
    </w:pPr>
    <w:rPr>
      <w:rFonts w:ascii="Arial" w:hAnsi="Arial"/>
      <w:b/>
      <w:bCs/>
      <w:sz w:val="30"/>
      <w:szCs w:val="28"/>
    </w:rPr>
  </w:style>
  <w:style w:type="paragraph" w:styleId="7">
    <w:name w:val="heading 5"/>
    <w:basedOn w:val="1"/>
    <w:next w:val="3"/>
    <w:link w:val="65"/>
    <w:qFormat/>
    <w:uiPriority w:val="0"/>
    <w:pPr>
      <w:keepNext/>
      <w:keepLines/>
      <w:numPr>
        <w:ilvl w:val="4"/>
        <w:numId w:val="1"/>
      </w:numPr>
      <w:spacing w:line="360" w:lineRule="auto"/>
      <w:outlineLvl w:val="4"/>
    </w:pPr>
    <w:rPr>
      <w:b/>
      <w:bCs/>
      <w:sz w:val="28"/>
      <w:szCs w:val="28"/>
    </w:rPr>
  </w:style>
  <w:style w:type="paragraph" w:styleId="8">
    <w:name w:val="heading 6"/>
    <w:basedOn w:val="1"/>
    <w:next w:val="1"/>
    <w:link w:val="66"/>
    <w:qFormat/>
    <w:uiPriority w:val="0"/>
    <w:pPr>
      <w:keepNext/>
      <w:keepLines/>
      <w:numPr>
        <w:ilvl w:val="5"/>
        <w:numId w:val="1"/>
      </w:numPr>
      <w:spacing w:line="360" w:lineRule="auto"/>
      <w:outlineLvl w:val="5"/>
    </w:pPr>
    <w:rPr>
      <w:rFonts w:ascii="Arial" w:hAnsi="Arial"/>
      <w:b/>
      <w:bCs/>
      <w:sz w:val="24"/>
    </w:rPr>
  </w:style>
  <w:style w:type="paragraph" w:styleId="9">
    <w:name w:val="heading 7"/>
    <w:basedOn w:val="1"/>
    <w:next w:val="1"/>
    <w:qFormat/>
    <w:uiPriority w:val="0"/>
    <w:pPr>
      <w:keepNext/>
      <w:keepLines/>
      <w:numPr>
        <w:ilvl w:val="6"/>
        <w:numId w:val="1"/>
      </w:numPr>
      <w:spacing w:line="360" w:lineRule="auto"/>
      <w:outlineLvl w:val="6"/>
    </w:pPr>
    <w:rPr>
      <w:b/>
      <w:bCs/>
    </w:rPr>
  </w:style>
  <w:style w:type="paragraph" w:styleId="10">
    <w:name w:val="heading 8"/>
    <w:basedOn w:val="1"/>
    <w:next w:val="1"/>
    <w:qFormat/>
    <w:uiPriority w:val="0"/>
    <w:pPr>
      <w:keepNext/>
      <w:keepLines/>
      <w:numPr>
        <w:ilvl w:val="7"/>
        <w:numId w:val="1"/>
      </w:numPr>
      <w:spacing w:line="360" w:lineRule="auto"/>
      <w:outlineLvl w:val="7"/>
    </w:pPr>
    <w:rPr>
      <w:rFonts w:ascii="Arial" w:hAnsi="Arial"/>
      <w:b/>
    </w:rPr>
  </w:style>
  <w:style w:type="paragraph" w:styleId="11">
    <w:name w:val="heading 9"/>
    <w:basedOn w:val="1"/>
    <w:next w:val="1"/>
    <w:qFormat/>
    <w:uiPriority w:val="0"/>
    <w:pPr>
      <w:keepNext/>
      <w:keepLines/>
      <w:numPr>
        <w:ilvl w:val="8"/>
        <w:numId w:val="1"/>
      </w:numPr>
      <w:spacing w:line="360" w:lineRule="auto"/>
      <w:outlineLvl w:val="8"/>
    </w:pPr>
    <w:rPr>
      <w:rFonts w:ascii="Arial" w:hAnsi="Arial"/>
      <w:b/>
      <w:szCs w:val="21"/>
    </w:rPr>
  </w:style>
  <w:style w:type="character" w:default="1" w:styleId="38">
    <w:name w:val="Default Paragraph Font"/>
    <w:semiHidden/>
    <w:unhideWhenUsed/>
    <w:qFormat/>
    <w:uiPriority w:val="1"/>
  </w:style>
  <w:style w:type="table" w:default="1" w:styleId="45">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link w:val="74"/>
    <w:qFormat/>
    <w:uiPriority w:val="0"/>
    <w:pPr>
      <w:ind w:firstLine="420" w:firstLineChars="200"/>
    </w:pPr>
  </w:style>
  <w:style w:type="paragraph" w:styleId="12">
    <w:name w:val="annotation subject"/>
    <w:basedOn w:val="13"/>
    <w:next w:val="13"/>
    <w:semiHidden/>
    <w:qFormat/>
    <w:uiPriority w:val="0"/>
    <w:rPr>
      <w:b/>
      <w:bCs/>
    </w:rPr>
  </w:style>
  <w:style w:type="paragraph" w:styleId="13">
    <w:name w:val="annotation text"/>
    <w:basedOn w:val="1"/>
    <w:semiHidden/>
    <w:qFormat/>
    <w:uiPriority w:val="0"/>
    <w:pPr>
      <w:jc w:val="left"/>
    </w:pPr>
  </w:style>
  <w:style w:type="paragraph" w:styleId="14">
    <w:name w:val="toc 7"/>
    <w:basedOn w:val="1"/>
    <w:next w:val="1"/>
    <w:qFormat/>
    <w:uiPriority w:val="39"/>
    <w:pPr>
      <w:ind w:left="2520" w:leftChars="1200"/>
    </w:pPr>
  </w:style>
  <w:style w:type="paragraph" w:styleId="15">
    <w:name w:val="Body Text First Indent"/>
    <w:basedOn w:val="16"/>
    <w:qFormat/>
    <w:uiPriority w:val="0"/>
    <w:pPr>
      <w:ind w:firstLine="420" w:firstLineChars="100"/>
    </w:pPr>
  </w:style>
  <w:style w:type="paragraph" w:styleId="16">
    <w:name w:val="Body Text"/>
    <w:basedOn w:val="1"/>
    <w:qFormat/>
    <w:uiPriority w:val="0"/>
    <w:pPr>
      <w:spacing w:after="120"/>
    </w:pPr>
  </w:style>
  <w:style w:type="paragraph" w:styleId="17">
    <w:name w:val="List Bullet"/>
    <w:basedOn w:val="1"/>
    <w:qFormat/>
    <w:uiPriority w:val="0"/>
    <w:pPr>
      <w:numPr>
        <w:ilvl w:val="0"/>
        <w:numId w:val="2"/>
      </w:numPr>
      <w:adjustRightInd w:val="0"/>
      <w:spacing w:line="360" w:lineRule="auto"/>
    </w:pPr>
    <w:rPr>
      <w:kern w:val="0"/>
      <w:szCs w:val="20"/>
    </w:rPr>
  </w:style>
  <w:style w:type="paragraph" w:styleId="18">
    <w:name w:val="Document Map"/>
    <w:basedOn w:val="1"/>
    <w:link w:val="109"/>
    <w:semiHidden/>
    <w:qFormat/>
    <w:uiPriority w:val="99"/>
    <w:pPr>
      <w:shd w:val="clear" w:color="auto" w:fill="000080"/>
    </w:pPr>
  </w:style>
  <w:style w:type="paragraph" w:styleId="19">
    <w:name w:val="Body Text Indent"/>
    <w:basedOn w:val="1"/>
    <w:link w:val="69"/>
    <w:qFormat/>
    <w:uiPriority w:val="0"/>
    <w:pPr>
      <w:ind w:firstLine="555"/>
    </w:pPr>
    <w:rPr>
      <w:rFonts w:ascii="仿宋_GB2312" w:eastAsia="仿宋_GB2312"/>
      <w:szCs w:val="20"/>
    </w:rPr>
  </w:style>
  <w:style w:type="paragraph" w:styleId="20">
    <w:name w:val="toc 5"/>
    <w:basedOn w:val="1"/>
    <w:next w:val="1"/>
    <w:qFormat/>
    <w:uiPriority w:val="39"/>
    <w:pPr>
      <w:ind w:left="1680" w:leftChars="800"/>
    </w:pPr>
  </w:style>
  <w:style w:type="paragraph" w:styleId="21">
    <w:name w:val="toc 3"/>
    <w:basedOn w:val="1"/>
    <w:next w:val="1"/>
    <w:qFormat/>
    <w:uiPriority w:val="39"/>
    <w:pPr>
      <w:ind w:left="840" w:leftChars="400"/>
    </w:pPr>
  </w:style>
  <w:style w:type="paragraph" w:styleId="22">
    <w:name w:val="Plain Text"/>
    <w:basedOn w:val="1"/>
    <w:qFormat/>
    <w:uiPriority w:val="0"/>
    <w:rPr>
      <w:rFonts w:ascii="宋体" w:hAnsi="Courier New" w:cs="Courier New"/>
      <w:szCs w:val="21"/>
    </w:rPr>
  </w:style>
  <w:style w:type="paragraph" w:styleId="23">
    <w:name w:val="toc 8"/>
    <w:basedOn w:val="1"/>
    <w:next w:val="1"/>
    <w:qFormat/>
    <w:uiPriority w:val="39"/>
    <w:pPr>
      <w:ind w:left="2940" w:leftChars="1400"/>
    </w:pPr>
  </w:style>
  <w:style w:type="paragraph" w:styleId="24">
    <w:name w:val="Balloon Text"/>
    <w:basedOn w:val="1"/>
    <w:semiHidden/>
    <w:qFormat/>
    <w:uiPriority w:val="0"/>
    <w:rPr>
      <w:sz w:val="18"/>
      <w:szCs w:val="18"/>
    </w:rPr>
  </w:style>
  <w:style w:type="paragraph" w:styleId="25">
    <w:name w:val="footer"/>
    <w:basedOn w:val="1"/>
    <w:link w:val="111"/>
    <w:qFormat/>
    <w:uiPriority w:val="99"/>
    <w:pPr>
      <w:tabs>
        <w:tab w:val="center" w:pos="4153"/>
        <w:tab w:val="right" w:pos="8306"/>
      </w:tabs>
      <w:snapToGrid w:val="0"/>
      <w:spacing w:line="240" w:lineRule="atLeast"/>
      <w:ind w:firstLine="420"/>
      <w:jc w:val="left"/>
    </w:pPr>
    <w:rPr>
      <w:sz w:val="18"/>
      <w:szCs w:val="18"/>
    </w:rPr>
  </w:style>
  <w:style w:type="paragraph" w:styleId="26">
    <w:name w:val="header"/>
    <w:basedOn w:val="1"/>
    <w:link w:val="110"/>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style>
  <w:style w:type="paragraph" w:styleId="28">
    <w:name w:val="toc 4"/>
    <w:basedOn w:val="1"/>
    <w:next w:val="1"/>
    <w:qFormat/>
    <w:uiPriority w:val="39"/>
    <w:pPr>
      <w:ind w:left="1260" w:leftChars="600"/>
    </w:pPr>
  </w:style>
  <w:style w:type="paragraph" w:styleId="29">
    <w:name w:val="Subtitle"/>
    <w:basedOn w:val="1"/>
    <w:qFormat/>
    <w:uiPriority w:val="0"/>
    <w:pPr>
      <w:spacing w:line="300" w:lineRule="auto"/>
      <w:ind w:firstLine="200" w:firstLineChars="200"/>
      <w:jc w:val="center"/>
    </w:pPr>
    <w:rPr>
      <w:rFonts w:ascii="Arial" w:hAnsi="Arial" w:eastAsia="黑体"/>
      <w:b/>
      <w:sz w:val="30"/>
    </w:rPr>
  </w:style>
  <w:style w:type="paragraph" w:styleId="30">
    <w:name w:val="footnote text"/>
    <w:basedOn w:val="1"/>
    <w:link w:val="62"/>
    <w:qFormat/>
    <w:uiPriority w:val="0"/>
    <w:pPr>
      <w:keepNext/>
      <w:keepLines/>
      <w:pBdr>
        <w:bottom w:val="single" w:color="000000" w:sz="6" w:space="0"/>
      </w:pBdr>
      <w:spacing w:before="40" w:after="40" w:line="240" w:lineRule="atLeast"/>
      <w:ind w:left="360" w:hanging="360"/>
      <w:jc w:val="left"/>
    </w:pPr>
    <w:rPr>
      <w:rFonts w:ascii="宋体"/>
      <w:snapToGrid w:val="0"/>
      <w:kern w:val="0"/>
      <w:sz w:val="16"/>
      <w:szCs w:val="20"/>
    </w:rPr>
  </w:style>
  <w:style w:type="paragraph" w:styleId="31">
    <w:name w:val="toc 6"/>
    <w:basedOn w:val="1"/>
    <w:next w:val="1"/>
    <w:qFormat/>
    <w:uiPriority w:val="39"/>
    <w:pPr>
      <w:ind w:left="2100" w:leftChars="1000"/>
    </w:pPr>
  </w:style>
  <w:style w:type="paragraph" w:styleId="32">
    <w:name w:val="Body Text Indent 3"/>
    <w:basedOn w:val="1"/>
    <w:qFormat/>
    <w:uiPriority w:val="0"/>
    <w:pPr>
      <w:spacing w:after="120"/>
      <w:ind w:left="420" w:leftChars="200"/>
    </w:pPr>
    <w:rPr>
      <w:sz w:val="16"/>
      <w:szCs w:val="16"/>
    </w:rPr>
  </w:style>
  <w:style w:type="paragraph" w:styleId="33">
    <w:name w:val="table of figures"/>
    <w:basedOn w:val="1"/>
    <w:next w:val="1"/>
    <w:semiHidden/>
    <w:qFormat/>
    <w:uiPriority w:val="0"/>
  </w:style>
  <w:style w:type="paragraph" w:styleId="34">
    <w:name w:val="toc 2"/>
    <w:basedOn w:val="1"/>
    <w:next w:val="1"/>
    <w:qFormat/>
    <w:uiPriority w:val="39"/>
    <w:pPr>
      <w:ind w:left="420" w:leftChars="200"/>
    </w:pPr>
  </w:style>
  <w:style w:type="paragraph" w:styleId="35">
    <w:name w:val="toc 9"/>
    <w:basedOn w:val="1"/>
    <w:next w:val="1"/>
    <w:qFormat/>
    <w:uiPriority w:val="39"/>
    <w:pPr>
      <w:ind w:left="3360" w:leftChars="1600"/>
    </w:pPr>
  </w:style>
  <w:style w:type="paragraph" w:styleId="36">
    <w:name w:val="Body Text 2"/>
    <w:basedOn w:val="1"/>
    <w:qFormat/>
    <w:uiPriority w:val="0"/>
    <w:pPr>
      <w:spacing w:after="120" w:line="480" w:lineRule="auto"/>
    </w:pPr>
  </w:style>
  <w:style w:type="paragraph" w:styleId="3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39">
    <w:name w:val="Strong"/>
    <w:qFormat/>
    <w:uiPriority w:val="0"/>
    <w:rPr>
      <w:b/>
      <w:bCs/>
    </w:rPr>
  </w:style>
  <w:style w:type="character" w:styleId="40">
    <w:name w:val="page number"/>
    <w:qFormat/>
    <w:uiPriority w:val="0"/>
  </w:style>
  <w:style w:type="character" w:styleId="41">
    <w:name w:val="FollowedHyperlink"/>
    <w:qFormat/>
    <w:uiPriority w:val="99"/>
    <w:rPr>
      <w:color w:val="800080"/>
      <w:u w:val="single"/>
    </w:rPr>
  </w:style>
  <w:style w:type="character" w:styleId="42">
    <w:name w:val="Emphasis"/>
    <w:qFormat/>
    <w:uiPriority w:val="20"/>
    <w:rPr>
      <w:color w:val="CC0033"/>
    </w:rPr>
  </w:style>
  <w:style w:type="character" w:styleId="43">
    <w:name w:val="Hyperlink"/>
    <w:qFormat/>
    <w:uiPriority w:val="99"/>
    <w:rPr>
      <w:color w:val="0000FF"/>
      <w:u w:val="single"/>
    </w:rPr>
  </w:style>
  <w:style w:type="character" w:styleId="44">
    <w:name w:val="annotation reference"/>
    <w:semiHidden/>
    <w:qFormat/>
    <w:uiPriority w:val="0"/>
    <w:rPr>
      <w:sz w:val="21"/>
      <w:szCs w:val="21"/>
    </w:rPr>
  </w:style>
  <w:style w:type="table" w:styleId="46">
    <w:name w:val="Table Grid"/>
    <w:basedOn w:val="45"/>
    <w:qFormat/>
    <w:uiPriority w:val="0"/>
    <w:pPr>
      <w:widowControl w:val="0"/>
      <w:spacing w:line="30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47">
    <w:name w:val="批注"/>
    <w:basedOn w:val="1"/>
    <w:link w:val="57"/>
    <w:qFormat/>
    <w:uiPriority w:val="0"/>
    <w:rPr>
      <w:color w:val="FF0000"/>
      <w:sz w:val="18"/>
    </w:rPr>
  </w:style>
  <w:style w:type="paragraph" w:customStyle="1" w:styleId="48">
    <w:name w:val="文档标题"/>
    <w:basedOn w:val="1"/>
    <w:next w:val="3"/>
    <w:qFormat/>
    <w:uiPriority w:val="0"/>
    <w:pPr>
      <w:jc w:val="center"/>
    </w:pPr>
    <w:rPr>
      <w:rFonts w:eastAsia="楷体_GB2312"/>
      <w:b/>
      <w:kern w:val="0"/>
      <w:sz w:val="52"/>
      <w:szCs w:val="72"/>
    </w:rPr>
  </w:style>
  <w:style w:type="paragraph" w:customStyle="1" w:styleId="49">
    <w:name w:val="正文 + 居中"/>
    <w:basedOn w:val="1"/>
    <w:qFormat/>
    <w:uiPriority w:val="0"/>
    <w:pPr>
      <w:jc w:val="center"/>
    </w:pPr>
  </w:style>
  <w:style w:type="paragraph" w:customStyle="1" w:styleId="50">
    <w:name w:val="项目名称"/>
    <w:basedOn w:val="1"/>
    <w:next w:val="3"/>
    <w:qFormat/>
    <w:uiPriority w:val="0"/>
    <w:pPr>
      <w:jc w:val="center"/>
    </w:pPr>
    <w:rPr>
      <w:rFonts w:ascii="华文楷体" w:eastAsia="楷体_GB2312" w:cs="宋体"/>
      <w:b/>
      <w:bCs/>
      <w:sz w:val="48"/>
      <w:szCs w:val="20"/>
    </w:rPr>
  </w:style>
  <w:style w:type="paragraph" w:customStyle="1" w:styleId="51">
    <w:name w:val="文档小标题"/>
    <w:basedOn w:val="48"/>
    <w:next w:val="3"/>
    <w:uiPriority w:val="0"/>
    <w:rPr>
      <w:sz w:val="30"/>
    </w:rPr>
  </w:style>
  <w:style w:type="paragraph" w:customStyle="1" w:styleId="52">
    <w:name w:val="表格文字"/>
    <w:basedOn w:val="1"/>
    <w:qFormat/>
    <w:uiPriority w:val="0"/>
  </w:style>
  <w:style w:type="paragraph" w:customStyle="1" w:styleId="53">
    <w:name w:val="表头文字"/>
    <w:basedOn w:val="49"/>
    <w:qFormat/>
    <w:uiPriority w:val="0"/>
    <w:rPr>
      <w:b/>
      <w:bCs/>
    </w:rPr>
  </w:style>
  <w:style w:type="paragraph" w:customStyle="1" w:styleId="54">
    <w:name w:val="图目录"/>
    <w:basedOn w:val="33"/>
    <w:next w:val="3"/>
    <w:qFormat/>
    <w:uiPriority w:val="0"/>
    <w:pPr>
      <w:numPr>
        <w:ilvl w:val="0"/>
        <w:numId w:val="3"/>
      </w:numPr>
      <w:jc w:val="center"/>
    </w:pPr>
  </w:style>
  <w:style w:type="paragraph" w:customStyle="1" w:styleId="55">
    <w:name w:val="表格目录"/>
    <w:basedOn w:val="33"/>
    <w:next w:val="3"/>
    <w:qFormat/>
    <w:uiPriority w:val="0"/>
    <w:pPr>
      <w:numPr>
        <w:ilvl w:val="0"/>
        <w:numId w:val="4"/>
      </w:numPr>
      <w:jc w:val="center"/>
    </w:pPr>
  </w:style>
  <w:style w:type="paragraph" w:customStyle="1" w:styleId="56">
    <w:name w:val="正文批注"/>
    <w:basedOn w:val="3"/>
    <w:next w:val="3"/>
    <w:qFormat/>
    <w:uiPriority w:val="0"/>
    <w:rPr>
      <w:i/>
      <w:color w:val="3366FF"/>
    </w:rPr>
  </w:style>
  <w:style w:type="character" w:customStyle="1" w:styleId="57">
    <w:name w:val="批注 Char"/>
    <w:link w:val="47"/>
    <w:qFormat/>
    <w:uiPriority w:val="0"/>
    <w:rPr>
      <w:rFonts w:eastAsia="宋体"/>
      <w:color w:val="FF0000"/>
      <w:kern w:val="2"/>
      <w:sz w:val="18"/>
      <w:szCs w:val="24"/>
      <w:lang w:val="en-US" w:eastAsia="zh-CN" w:bidi="ar-SA"/>
    </w:rPr>
  </w:style>
  <w:style w:type="paragraph" w:customStyle="1" w:styleId="58">
    <w:name w:val="表格内文字"/>
    <w:basedOn w:val="1"/>
    <w:qFormat/>
    <w:uiPriority w:val="0"/>
  </w:style>
  <w:style w:type="paragraph" w:customStyle="1" w:styleId="59">
    <w:name w:val="默认段落字体 Para Char Char Char Char Char Char Char Char Char1 Char Char Char Char Char Char Char"/>
    <w:basedOn w:val="18"/>
    <w:qFormat/>
    <w:uiPriority w:val="0"/>
    <w:pPr>
      <w:ind w:firstLine="200" w:firstLineChars="200"/>
      <w:jc w:val="left"/>
    </w:pPr>
    <w:rPr>
      <w:rFonts w:ascii="Tahoma" w:hAnsi="Tahoma"/>
      <w:sz w:val="24"/>
    </w:rPr>
  </w:style>
  <w:style w:type="paragraph" w:customStyle="1" w:styleId="60">
    <w:name w:val="样式 目录 2 + 左侧:  2 字符1"/>
    <w:basedOn w:val="34"/>
    <w:qFormat/>
    <w:uiPriority w:val="0"/>
    <w:pPr>
      <w:spacing w:line="240" w:lineRule="atLeast"/>
      <w:ind w:left="480"/>
      <w:jc w:val="left"/>
    </w:pPr>
    <w:rPr>
      <w:rFonts w:cs="宋体"/>
      <w:sz w:val="24"/>
      <w:szCs w:val="20"/>
    </w:rPr>
  </w:style>
  <w:style w:type="paragraph" w:styleId="61">
    <w:name w:val="List Paragraph"/>
    <w:basedOn w:val="1"/>
    <w:link w:val="105"/>
    <w:qFormat/>
    <w:uiPriority w:val="99"/>
    <w:pPr>
      <w:ind w:firstLine="420" w:firstLineChars="200"/>
    </w:pPr>
  </w:style>
  <w:style w:type="character" w:customStyle="1" w:styleId="62">
    <w:name w:val="脚注文本 Char"/>
    <w:link w:val="30"/>
    <w:qFormat/>
    <w:uiPriority w:val="0"/>
    <w:rPr>
      <w:rFonts w:ascii="宋体"/>
      <w:snapToGrid w:val="0"/>
      <w:sz w:val="16"/>
    </w:rPr>
  </w:style>
  <w:style w:type="paragraph" w:customStyle="1" w:styleId="63">
    <w:name w:val="样式 标题 1 + 段前: 1 行 段后: 0 磅 行距: 1.5 倍行距1"/>
    <w:basedOn w:val="2"/>
    <w:qFormat/>
    <w:uiPriority w:val="0"/>
    <w:pPr>
      <w:keepLines w:val="0"/>
      <w:widowControl/>
      <w:tabs>
        <w:tab w:val="left" w:pos="0"/>
      </w:tabs>
      <w:spacing w:beforeLines="100" w:afterLines="0"/>
      <w:ind w:left="0" w:firstLine="0"/>
      <w:jc w:val="left"/>
    </w:pPr>
    <w:rPr>
      <w:rFonts w:cs="宋体"/>
      <w:color w:val="000000"/>
      <w:kern w:val="32"/>
      <w:sz w:val="36"/>
      <w:szCs w:val="36"/>
    </w:rPr>
  </w:style>
  <w:style w:type="paragraph" w:customStyle="1" w:styleId="64">
    <w:name w:val="文档说明"/>
    <w:basedOn w:val="3"/>
    <w:next w:val="3"/>
    <w:qFormat/>
    <w:uiPriority w:val="0"/>
    <w:pPr>
      <w:spacing w:line="360" w:lineRule="auto"/>
    </w:pPr>
    <w:rPr>
      <w:i/>
      <w:color w:val="0000FF"/>
    </w:rPr>
  </w:style>
  <w:style w:type="character" w:customStyle="1" w:styleId="65">
    <w:name w:val="标题 5 Char"/>
    <w:link w:val="7"/>
    <w:qFormat/>
    <w:uiPriority w:val="0"/>
    <w:rPr>
      <w:b/>
      <w:bCs/>
      <w:kern w:val="2"/>
      <w:sz w:val="28"/>
      <w:szCs w:val="28"/>
    </w:rPr>
  </w:style>
  <w:style w:type="character" w:customStyle="1" w:styleId="66">
    <w:name w:val="标题 6 Char"/>
    <w:link w:val="8"/>
    <w:qFormat/>
    <w:uiPriority w:val="0"/>
    <w:rPr>
      <w:rFonts w:ascii="Arial" w:hAnsi="Arial"/>
      <w:b/>
      <w:bCs/>
      <w:kern w:val="2"/>
      <w:sz w:val="24"/>
      <w:szCs w:val="24"/>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默认段落字体 Char Char Char"/>
    <w:basedOn w:val="1"/>
    <w:next w:val="1"/>
    <w:qFormat/>
    <w:uiPriority w:val="0"/>
    <w:rPr>
      <w:rFonts w:ascii="Tahoma" w:hAnsi="Tahoma"/>
      <w:sz w:val="24"/>
    </w:rPr>
  </w:style>
  <w:style w:type="character" w:customStyle="1" w:styleId="69">
    <w:name w:val="正文文本缩进 Char"/>
    <w:link w:val="19"/>
    <w:qFormat/>
    <w:uiPriority w:val="0"/>
    <w:rPr>
      <w:rFonts w:ascii="仿宋_GB2312" w:eastAsia="仿宋_GB2312"/>
      <w:kern w:val="2"/>
      <w:sz w:val="21"/>
    </w:rPr>
  </w:style>
  <w:style w:type="paragraph" w:customStyle="1" w:styleId="70">
    <w:name w:val="CM56"/>
    <w:basedOn w:val="67"/>
    <w:next w:val="67"/>
    <w:qFormat/>
    <w:uiPriority w:val="0"/>
    <w:pPr>
      <w:spacing w:after="370"/>
    </w:pPr>
    <w:rPr>
      <w:rFonts w:ascii="Arial" w:hAnsi="Arial" w:cs="Times New Roman"/>
      <w:color w:val="auto"/>
    </w:rPr>
  </w:style>
  <w:style w:type="paragraph" w:customStyle="1" w:styleId="71">
    <w:name w:val="CM58"/>
    <w:basedOn w:val="67"/>
    <w:next w:val="67"/>
    <w:qFormat/>
    <w:uiPriority w:val="0"/>
    <w:pPr>
      <w:spacing w:after="560"/>
    </w:pPr>
    <w:rPr>
      <w:rFonts w:ascii="Arial" w:hAnsi="Arial" w:cs="Times New Roman"/>
      <w:color w:val="auto"/>
    </w:rPr>
  </w:style>
  <w:style w:type="character" w:customStyle="1" w:styleId="72">
    <w:name w:val="标题 3 Char1"/>
    <w:link w:val="5"/>
    <w:qFormat/>
    <w:uiPriority w:val="0"/>
    <w:rPr>
      <w:b/>
      <w:bCs/>
      <w:kern w:val="2"/>
      <w:sz w:val="32"/>
      <w:szCs w:val="32"/>
    </w:rPr>
  </w:style>
  <w:style w:type="character" w:customStyle="1" w:styleId="73">
    <w:name w:val="标题 4 Char1"/>
    <w:link w:val="6"/>
    <w:qFormat/>
    <w:uiPriority w:val="0"/>
    <w:rPr>
      <w:rFonts w:ascii="Arial" w:hAnsi="Arial"/>
      <w:b/>
      <w:bCs/>
      <w:kern w:val="2"/>
      <w:sz w:val="30"/>
      <w:szCs w:val="28"/>
    </w:rPr>
  </w:style>
  <w:style w:type="character" w:customStyle="1" w:styleId="74">
    <w:name w:val="正文缩进 Char"/>
    <w:link w:val="3"/>
    <w:qFormat/>
    <w:uiPriority w:val="0"/>
    <w:rPr>
      <w:rFonts w:eastAsia="宋体"/>
      <w:kern w:val="2"/>
      <w:sz w:val="21"/>
      <w:szCs w:val="24"/>
      <w:lang w:val="en-US" w:eastAsia="zh-CN" w:bidi="ar-SA"/>
    </w:rPr>
  </w:style>
  <w:style w:type="paragraph" w:customStyle="1" w:styleId="75">
    <w:name w:val="Char"/>
    <w:basedOn w:val="1"/>
    <w:qFormat/>
    <w:uiPriority w:val="0"/>
    <w:pPr>
      <w:spacing w:line="360" w:lineRule="auto"/>
    </w:pPr>
    <w:rPr>
      <w:rFonts w:ascii="Tahoma" w:hAnsi="Tahoma"/>
      <w:sz w:val="24"/>
      <w:szCs w:val="20"/>
    </w:rPr>
  </w:style>
  <w:style w:type="paragraph" w:customStyle="1" w:styleId="76">
    <w:name w:val="表格文本"/>
    <w:basedOn w:val="1"/>
    <w:qFormat/>
    <w:uiPriority w:val="0"/>
    <w:pPr>
      <w:adjustRightInd w:val="0"/>
    </w:pPr>
    <w:rPr>
      <w:rFonts w:ascii="宋体" w:hAnsi="宋体"/>
      <w:kern w:val="0"/>
      <w:szCs w:val="20"/>
    </w:rPr>
  </w:style>
  <w:style w:type="paragraph" w:customStyle="1" w:styleId="77">
    <w:name w:val="Fieldtable"/>
    <w:qFormat/>
    <w:uiPriority w:val="0"/>
    <w:pPr>
      <w:spacing w:before="60"/>
    </w:pPr>
    <w:rPr>
      <w:rFonts w:ascii="Arial" w:hAnsi="Arial" w:eastAsia="宋体" w:cs="Times New Roman"/>
      <w:sz w:val="18"/>
      <w:lang w:val="en-US" w:eastAsia="en-US" w:bidi="ar-SA"/>
    </w:rPr>
  </w:style>
  <w:style w:type="paragraph" w:customStyle="1" w:styleId="78">
    <w:name w:val="关键点"/>
    <w:basedOn w:val="1"/>
    <w:qFormat/>
    <w:uiPriority w:val="0"/>
    <w:pPr>
      <w:numPr>
        <w:ilvl w:val="0"/>
        <w:numId w:val="5"/>
      </w:numPr>
    </w:pPr>
  </w:style>
  <w:style w:type="paragraph" w:customStyle="1" w:styleId="79">
    <w:name w:val="正文格式"/>
    <w:basedOn w:val="1"/>
    <w:link w:val="82"/>
    <w:qFormat/>
    <w:uiPriority w:val="0"/>
    <w:pPr>
      <w:autoSpaceDE w:val="0"/>
      <w:autoSpaceDN w:val="0"/>
      <w:adjustRightInd w:val="0"/>
      <w:ind w:firstLine="200" w:firstLineChars="200"/>
      <w:jc w:val="left"/>
    </w:pPr>
    <w:rPr>
      <w:rFonts w:ascii="宋体" w:hAnsi="宋体" w:cs="Wingdings"/>
      <w:kern w:val="0"/>
      <w:lang w:val="zh-CN"/>
    </w:rPr>
  </w:style>
  <w:style w:type="paragraph" w:customStyle="1" w:styleId="80">
    <w:name w:val="主标题"/>
    <w:basedOn w:val="1"/>
    <w:qFormat/>
    <w:uiPriority w:val="0"/>
    <w:pPr>
      <w:spacing w:line="300" w:lineRule="auto"/>
      <w:ind w:firstLine="200" w:firstLineChars="200"/>
      <w:jc w:val="center"/>
    </w:pPr>
    <w:rPr>
      <w:rFonts w:ascii="Arial Black" w:hAnsi="Arial Black" w:eastAsia="黑体"/>
      <w:b/>
      <w:sz w:val="48"/>
    </w:rPr>
  </w:style>
  <w:style w:type="paragraph" w:customStyle="1" w:styleId="81">
    <w:name w:val="注视文字"/>
    <w:basedOn w:val="79"/>
    <w:link w:val="83"/>
    <w:qFormat/>
    <w:uiPriority w:val="0"/>
    <w:pPr>
      <w:ind w:left="400" w:leftChars="400" w:firstLine="0" w:firstLineChars="0"/>
    </w:pPr>
  </w:style>
  <w:style w:type="character" w:customStyle="1" w:styleId="82">
    <w:name w:val="正文格式 Char"/>
    <w:link w:val="79"/>
    <w:qFormat/>
    <w:uiPriority w:val="0"/>
    <w:rPr>
      <w:rFonts w:ascii="宋体" w:hAnsi="宋体" w:eastAsia="宋体" w:cs="Wingdings"/>
      <w:sz w:val="21"/>
      <w:szCs w:val="24"/>
      <w:lang w:val="zh-CN" w:eastAsia="zh-CN" w:bidi="ar-SA"/>
    </w:rPr>
  </w:style>
  <w:style w:type="character" w:customStyle="1" w:styleId="83">
    <w:name w:val="注视文字 Char"/>
    <w:basedOn w:val="82"/>
    <w:link w:val="81"/>
    <w:qFormat/>
    <w:uiPriority w:val="0"/>
  </w:style>
  <w:style w:type="paragraph" w:customStyle="1" w:styleId="84">
    <w:name w:val="样式1"/>
    <w:basedOn w:val="6"/>
    <w:qFormat/>
    <w:uiPriority w:val="0"/>
    <w:pPr>
      <w:tabs>
        <w:tab w:val="clear" w:pos="864"/>
      </w:tabs>
      <w:spacing w:beforeLines="0" w:afterLines="0"/>
      <w:ind w:left="1764"/>
    </w:pPr>
  </w:style>
  <w:style w:type="paragraph" w:customStyle="1" w:styleId="85">
    <w:name w:val="样式2"/>
    <w:basedOn w:val="6"/>
    <w:link w:val="86"/>
    <w:qFormat/>
    <w:uiPriority w:val="0"/>
    <w:pPr>
      <w:tabs>
        <w:tab w:val="clear" w:pos="864"/>
      </w:tabs>
      <w:spacing w:beforeLines="0" w:afterLines="0"/>
      <w:ind w:left="851" w:hanging="851"/>
    </w:pPr>
  </w:style>
  <w:style w:type="character" w:customStyle="1" w:styleId="86">
    <w:name w:val="样式2 Char"/>
    <w:basedOn w:val="73"/>
    <w:link w:val="85"/>
    <w:qFormat/>
    <w:uiPriority w:val="0"/>
  </w:style>
  <w:style w:type="paragraph" w:customStyle="1" w:styleId="87">
    <w:name w:val="样式3"/>
    <w:basedOn w:val="5"/>
    <w:qFormat/>
    <w:uiPriority w:val="0"/>
    <w:pPr>
      <w:spacing w:beforeLines="0" w:afterLines="0"/>
      <w:ind w:left="709" w:hanging="709"/>
    </w:pPr>
  </w:style>
  <w:style w:type="paragraph" w:customStyle="1" w:styleId="88">
    <w:name w:val="样式4"/>
    <w:basedOn w:val="7"/>
    <w:qFormat/>
    <w:uiPriority w:val="0"/>
    <w:pPr>
      <w:tabs>
        <w:tab w:val="clear" w:pos="1008"/>
      </w:tabs>
      <w:spacing w:line="240" w:lineRule="auto"/>
      <w:ind w:left="3168"/>
      <w:jc w:val="left"/>
    </w:pPr>
  </w:style>
  <w:style w:type="paragraph" w:customStyle="1" w:styleId="89">
    <w:name w:val="样式5"/>
    <w:basedOn w:val="6"/>
    <w:qFormat/>
    <w:uiPriority w:val="0"/>
    <w:pPr>
      <w:tabs>
        <w:tab w:val="clear" w:pos="864"/>
      </w:tabs>
      <w:spacing w:beforeLines="0" w:afterLines="0"/>
      <w:ind w:left="862" w:hanging="862"/>
    </w:pPr>
  </w:style>
  <w:style w:type="paragraph" w:customStyle="1" w:styleId="90">
    <w:name w:val="样式6"/>
    <w:basedOn w:val="6"/>
    <w:qFormat/>
    <w:uiPriority w:val="0"/>
    <w:pPr>
      <w:tabs>
        <w:tab w:val="clear" w:pos="864"/>
      </w:tabs>
      <w:spacing w:beforeLines="0" w:afterLines="0"/>
      <w:ind w:left="862" w:hanging="862"/>
      <w:jc w:val="left"/>
    </w:pPr>
  </w:style>
  <w:style w:type="paragraph" w:customStyle="1" w:styleId="91">
    <w:name w:val="样式7"/>
    <w:basedOn w:val="7"/>
    <w:link w:val="100"/>
    <w:qFormat/>
    <w:uiPriority w:val="0"/>
    <w:pPr>
      <w:tabs>
        <w:tab w:val="clear" w:pos="1008"/>
      </w:tabs>
      <w:ind w:left="1009" w:hanging="1009"/>
      <w:jc w:val="left"/>
    </w:pPr>
    <w:rPr>
      <w:rFonts w:ascii="仿宋_GB2312" w:eastAsia="仿宋_GB2312"/>
    </w:rPr>
  </w:style>
  <w:style w:type="paragraph" w:customStyle="1" w:styleId="92">
    <w:name w:val="样式8"/>
    <w:basedOn w:val="91"/>
    <w:link w:val="101"/>
    <w:qFormat/>
    <w:uiPriority w:val="0"/>
    <w:pPr>
      <w:numPr>
        <w:ilvl w:val="3"/>
        <w:numId w:val="6"/>
      </w:numPr>
    </w:pPr>
  </w:style>
  <w:style w:type="paragraph" w:customStyle="1" w:styleId="93">
    <w:name w:val="样式9"/>
    <w:basedOn w:val="6"/>
    <w:qFormat/>
    <w:uiPriority w:val="0"/>
    <w:pPr>
      <w:tabs>
        <w:tab w:val="clear" w:pos="864"/>
      </w:tabs>
      <w:spacing w:beforeLines="0" w:afterLines="0"/>
      <w:ind w:left="1764"/>
    </w:pPr>
  </w:style>
  <w:style w:type="paragraph" w:customStyle="1" w:styleId="94">
    <w:name w:val="样式10"/>
    <w:basedOn w:val="4"/>
    <w:qFormat/>
    <w:uiPriority w:val="0"/>
    <w:pPr>
      <w:tabs>
        <w:tab w:val="clear" w:pos="576"/>
      </w:tabs>
      <w:spacing w:beforeLines="0" w:afterLines="0"/>
    </w:pPr>
  </w:style>
  <w:style w:type="paragraph" w:customStyle="1" w:styleId="95">
    <w:name w:val="样式11"/>
    <w:basedOn w:val="5"/>
    <w:qFormat/>
    <w:uiPriority w:val="0"/>
    <w:pPr>
      <w:spacing w:beforeLines="0" w:afterLines="0"/>
    </w:pPr>
  </w:style>
  <w:style w:type="paragraph" w:customStyle="1" w:styleId="96">
    <w:name w:val="样式12"/>
    <w:basedOn w:val="8"/>
    <w:qFormat/>
    <w:uiPriority w:val="0"/>
    <w:pPr>
      <w:tabs>
        <w:tab w:val="clear" w:pos="1152"/>
      </w:tabs>
      <w:ind w:left="1134" w:hanging="1134"/>
    </w:pPr>
  </w:style>
  <w:style w:type="paragraph" w:customStyle="1" w:styleId="97">
    <w:name w:val="样式13"/>
    <w:basedOn w:val="93"/>
    <w:qFormat/>
    <w:uiPriority w:val="0"/>
    <w:pPr>
      <w:numPr>
        <w:ilvl w:val="2"/>
        <w:numId w:val="6"/>
      </w:numPr>
    </w:pPr>
  </w:style>
  <w:style w:type="character" w:customStyle="1" w:styleId="98">
    <w:name w:val="tw4winPopup"/>
    <w:qFormat/>
    <w:uiPriority w:val="0"/>
    <w:rPr>
      <w:rFonts w:ascii="Courier New" w:hAnsi="Courier New"/>
      <w:color w:val="008000"/>
    </w:rPr>
  </w:style>
  <w:style w:type="paragraph" w:customStyle="1" w:styleId="99">
    <w:name w:val="样式14"/>
    <w:basedOn w:val="97"/>
    <w:qFormat/>
    <w:uiPriority w:val="0"/>
  </w:style>
  <w:style w:type="character" w:customStyle="1" w:styleId="100">
    <w:name w:val="样式7 Char"/>
    <w:link w:val="91"/>
    <w:qFormat/>
    <w:uiPriority w:val="0"/>
    <w:rPr>
      <w:rFonts w:ascii="仿宋_GB2312" w:eastAsia="仿宋_GB2312"/>
      <w:b/>
      <w:bCs/>
      <w:kern w:val="2"/>
      <w:sz w:val="28"/>
      <w:szCs w:val="28"/>
    </w:rPr>
  </w:style>
  <w:style w:type="character" w:customStyle="1" w:styleId="101">
    <w:name w:val="样式8 Char"/>
    <w:basedOn w:val="100"/>
    <w:link w:val="92"/>
    <w:qFormat/>
    <w:uiPriority w:val="0"/>
  </w:style>
  <w:style w:type="character" w:customStyle="1" w:styleId="102">
    <w:name w:val="contenttdcss1"/>
    <w:qFormat/>
    <w:uiPriority w:val="0"/>
    <w:rPr>
      <w:color w:val="4E4E4E"/>
      <w:sz w:val="18"/>
      <w:szCs w:val="18"/>
    </w:rPr>
  </w:style>
  <w:style w:type="character" w:customStyle="1" w:styleId="103">
    <w:name w:val="st"/>
    <w:basedOn w:val="38"/>
    <w:qFormat/>
    <w:uiPriority w:val="0"/>
  </w:style>
  <w:style w:type="paragraph" w:customStyle="1" w:styleId="10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5">
    <w:name w:val="列出段落 Char"/>
    <w:link w:val="61"/>
    <w:qFormat/>
    <w:uiPriority w:val="34"/>
    <w:rPr>
      <w:kern w:val="2"/>
      <w:sz w:val="21"/>
      <w:szCs w:val="24"/>
    </w:rPr>
  </w:style>
  <w:style w:type="character" w:customStyle="1" w:styleId="106">
    <w:name w:val="contenttdcss"/>
    <w:basedOn w:val="38"/>
    <w:qFormat/>
    <w:uiPriority w:val="0"/>
  </w:style>
  <w:style w:type="paragraph" w:customStyle="1" w:styleId="107">
    <w:name w:val="我的正文"/>
    <w:basedOn w:val="1"/>
    <w:qFormat/>
    <w:uiPriority w:val="0"/>
    <w:pPr>
      <w:spacing w:line="360" w:lineRule="auto"/>
      <w:ind w:firstLine="200" w:firstLineChars="200"/>
    </w:pPr>
    <w:rPr>
      <w:sz w:val="24"/>
      <w:lang w:val="zh-CN"/>
    </w:rPr>
  </w:style>
  <w:style w:type="paragraph" w:customStyle="1" w:styleId="108">
    <w:name w:val="xl71"/>
    <w:basedOn w:val="1"/>
    <w:qFormat/>
    <w:uiPriority w:val="99"/>
    <w:pPr>
      <w:widowControl/>
      <w:pBdr>
        <w:top w:val="single" w:color="auto" w:sz="4" w:space="0"/>
        <w:left w:val="single" w:color="auto" w:sz="4" w:space="0"/>
        <w:right w:val="single" w:color="auto" w:sz="4" w:space="0"/>
      </w:pBdr>
      <w:shd w:val="clear" w:color="000000" w:fill="FFFF00"/>
      <w:spacing w:before="100" w:beforeAutospacing="1" w:after="100" w:afterAutospacing="1"/>
      <w:jc w:val="center"/>
      <w:textAlignment w:val="top"/>
    </w:pPr>
    <w:rPr>
      <w:rFonts w:ascii="宋体" w:hAnsi="宋体" w:cs="宋体"/>
      <w:b/>
      <w:bCs/>
      <w:kern w:val="0"/>
      <w:sz w:val="24"/>
    </w:rPr>
  </w:style>
  <w:style w:type="character" w:customStyle="1" w:styleId="109">
    <w:name w:val="文档结构图 Char"/>
    <w:basedOn w:val="38"/>
    <w:link w:val="18"/>
    <w:semiHidden/>
    <w:qFormat/>
    <w:locked/>
    <w:uiPriority w:val="99"/>
    <w:rPr>
      <w:kern w:val="2"/>
      <w:sz w:val="21"/>
      <w:szCs w:val="24"/>
      <w:shd w:val="clear" w:color="auto" w:fill="000080"/>
    </w:rPr>
  </w:style>
  <w:style w:type="character" w:customStyle="1" w:styleId="110">
    <w:name w:val="页眉 Char"/>
    <w:basedOn w:val="38"/>
    <w:link w:val="26"/>
    <w:qFormat/>
    <w:locked/>
    <w:uiPriority w:val="99"/>
    <w:rPr>
      <w:kern w:val="2"/>
      <w:sz w:val="18"/>
      <w:szCs w:val="18"/>
    </w:rPr>
  </w:style>
  <w:style w:type="character" w:customStyle="1" w:styleId="111">
    <w:name w:val="页脚 Char"/>
    <w:basedOn w:val="38"/>
    <w:link w:val="25"/>
    <w:qFormat/>
    <w:locked/>
    <w:uiPriority w:val="99"/>
    <w:rPr>
      <w:kern w:val="2"/>
      <w:sz w:val="18"/>
      <w:szCs w:val="18"/>
    </w:rPr>
  </w:style>
  <w:style w:type="paragraph" w:customStyle="1" w:styleId="112">
    <w:name w:val="font5"/>
    <w:basedOn w:val="1"/>
    <w:qFormat/>
    <w:uiPriority w:val="99"/>
    <w:pPr>
      <w:widowControl/>
      <w:spacing w:before="100" w:beforeAutospacing="1" w:after="100" w:afterAutospacing="1"/>
      <w:jc w:val="left"/>
    </w:pPr>
    <w:rPr>
      <w:rFonts w:ascii="宋体" w:hAnsi="宋体" w:cs="宋体"/>
      <w:kern w:val="0"/>
      <w:sz w:val="18"/>
      <w:szCs w:val="18"/>
    </w:rPr>
  </w:style>
  <w:style w:type="paragraph" w:customStyle="1" w:styleId="113">
    <w:name w:val="xl65"/>
    <w:basedOn w:val="1"/>
    <w:qFormat/>
    <w:uiPriority w:val="99"/>
    <w:pPr>
      <w:widowControl/>
      <w:spacing w:before="100" w:beforeAutospacing="1" w:after="100" w:afterAutospacing="1"/>
      <w:jc w:val="left"/>
    </w:pPr>
    <w:rPr>
      <w:rFonts w:ascii="宋体" w:hAnsi="宋体" w:cs="宋体"/>
      <w:kern w:val="0"/>
      <w:sz w:val="24"/>
    </w:rPr>
  </w:style>
  <w:style w:type="paragraph" w:customStyle="1" w:styleId="114">
    <w:name w:val="xl66"/>
    <w:basedOn w:val="1"/>
    <w:qFormat/>
    <w:uiPriority w:val="99"/>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kern w:val="0"/>
      <w:sz w:val="24"/>
    </w:rPr>
  </w:style>
  <w:style w:type="paragraph" w:customStyle="1" w:styleId="115">
    <w:name w:val="xl6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16">
    <w:name w:val="xl68"/>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17">
    <w:name w:val="xl69"/>
    <w:basedOn w:val="1"/>
    <w:qFormat/>
    <w:uiPriority w:val="99"/>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b/>
      <w:bCs/>
      <w:kern w:val="0"/>
      <w:sz w:val="24"/>
    </w:rPr>
  </w:style>
  <w:style w:type="paragraph" w:customStyle="1" w:styleId="118">
    <w:name w:val="xl70"/>
    <w:basedOn w:val="1"/>
    <w:qFormat/>
    <w:uiPriority w:val="99"/>
    <w:pPr>
      <w:widowControl/>
      <w:pBdr>
        <w:top w:val="single" w:color="auto" w:sz="4" w:space="0"/>
        <w:left w:val="single" w:color="auto" w:sz="4" w:space="0"/>
        <w:bottom w:val="single" w:color="auto" w:sz="4" w:space="0"/>
        <w:right w:val="single" w:color="auto" w:sz="4" w:space="0"/>
      </w:pBdr>
      <w:shd w:val="clear" w:color="000000" w:fill="FFFF00"/>
      <w:spacing w:before="100" w:beforeAutospacing="1" w:after="100" w:afterAutospacing="1"/>
      <w:jc w:val="left"/>
    </w:pPr>
    <w:rPr>
      <w:rFonts w:ascii="宋体" w:hAnsi="宋体" w:cs="宋体"/>
      <w:b/>
      <w:bCs/>
      <w:kern w:val="0"/>
      <w:sz w:val="24"/>
    </w:rPr>
  </w:style>
  <w:style w:type="paragraph" w:customStyle="1" w:styleId="119">
    <w:name w:val="xl72"/>
    <w:basedOn w:val="1"/>
    <w:qFormat/>
    <w:uiPriority w:val="99"/>
    <w:pPr>
      <w:widowControl/>
      <w:pBdr>
        <w:left w:val="single" w:color="auto" w:sz="4" w:space="0"/>
        <w:right w:val="single" w:color="auto" w:sz="4" w:space="0"/>
      </w:pBdr>
      <w:shd w:val="clear" w:color="000000" w:fill="FFFF00"/>
      <w:spacing w:before="100" w:beforeAutospacing="1" w:after="100" w:afterAutospacing="1"/>
      <w:jc w:val="center"/>
      <w:textAlignment w:val="top"/>
    </w:pPr>
    <w:rPr>
      <w:rFonts w:ascii="宋体" w:hAnsi="宋体" w:cs="宋体"/>
      <w:b/>
      <w:bCs/>
      <w:kern w:val="0"/>
      <w:sz w:val="24"/>
    </w:rPr>
  </w:style>
  <w:style w:type="paragraph" w:customStyle="1" w:styleId="120">
    <w:name w:val="xl73"/>
    <w:basedOn w:val="1"/>
    <w:qFormat/>
    <w:uiPriority w:val="99"/>
    <w:pPr>
      <w:widowControl/>
      <w:pBdr>
        <w:left w:val="single" w:color="auto" w:sz="4" w:space="0"/>
        <w:bottom w:val="single" w:color="auto" w:sz="4" w:space="0"/>
        <w:right w:val="single" w:color="auto" w:sz="4" w:space="0"/>
      </w:pBdr>
      <w:shd w:val="clear" w:color="000000" w:fill="FFFF00"/>
      <w:spacing w:before="100" w:beforeAutospacing="1" w:after="100" w:afterAutospacing="1"/>
      <w:jc w:val="center"/>
      <w:textAlignment w:val="top"/>
    </w:pPr>
    <w:rPr>
      <w:rFonts w:ascii="宋体" w:hAnsi="宋体" w:cs="宋体"/>
      <w:b/>
      <w:bCs/>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header" Target="header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14.png"/><Relationship Id="rId26" Type="http://schemas.openxmlformats.org/officeDocument/2006/relationships/image" Target="media/image13.png"/><Relationship Id="rId25" Type="http://schemas.openxmlformats.org/officeDocument/2006/relationships/image" Target="media/image12.png"/><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png"/><Relationship Id="rId21" Type="http://schemas.openxmlformats.org/officeDocument/2006/relationships/image" Target="media/image8.jpeg"/><Relationship Id="rId20" Type="http://schemas.openxmlformats.org/officeDocument/2006/relationships/image" Target="media/image7.jpeg"/><Relationship Id="rId2" Type="http://schemas.openxmlformats.org/officeDocument/2006/relationships/settings" Target="settings.xml"/><Relationship Id="rId19" Type="http://schemas.openxmlformats.org/officeDocument/2006/relationships/image" Target="media/image6.jpeg"/><Relationship Id="rId18" Type="http://schemas.openxmlformats.org/officeDocument/2006/relationships/image" Target="media/image5.jpeg"/><Relationship Id="rId17" Type="http://schemas.openxmlformats.org/officeDocument/2006/relationships/image" Target="media/image4.png"/><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header" Target="header6.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65D101-B15B-42A0-935B-7FC5FA018441}">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1908</Words>
  <Characters>10880</Characters>
  <Lines>90</Lines>
  <Paragraphs>25</Paragraphs>
  <TotalTime>2</TotalTime>
  <ScaleCrop>false</ScaleCrop>
  <LinksUpToDate>false</LinksUpToDate>
  <CharactersWithSpaces>12763</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2017-05-19T02:58:00Z</dcterms:created>
  <dc:creator>SEPG</dc:creator>
  <cp:lastModifiedBy>木木巴__蚂蚁软件</cp:lastModifiedBy>
  <dcterms:modified xsi:type="dcterms:W3CDTF">2018-06-17T04:07:34Z</dcterms:modified>
  <dc:title>Word文档模板</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